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B81" w:rsidRDefault="00887B81" w:rsidP="0018680A">
      <w:pPr>
        <w:widowControl/>
        <w:tabs>
          <w:tab w:val="left" w:pos="540"/>
          <w:tab w:val="left" w:pos="900"/>
          <w:tab w:val="left" w:pos="1080"/>
        </w:tabs>
        <w:spacing w:before="120" w:after="120" w:line="240" w:lineRule="auto"/>
        <w:rPr>
          <w:rFonts w:ascii="Verdana" w:eastAsia="Verdana" w:hAnsi="Verdana"/>
          <w:b/>
          <w:bCs/>
          <w:sz w:val="22"/>
          <w:lang w:eastAsia="en-US"/>
        </w:rPr>
      </w:pPr>
      <w:bookmarkStart w:id="0" w:name="_GoBack"/>
      <w:bookmarkEnd w:id="0"/>
    </w:p>
    <w:p w:rsidR="0018680A" w:rsidRPr="004D5E0F" w:rsidRDefault="001356B8" w:rsidP="0018680A">
      <w:pPr>
        <w:widowControl/>
        <w:tabs>
          <w:tab w:val="left" w:pos="540"/>
          <w:tab w:val="left" w:pos="900"/>
          <w:tab w:val="left" w:pos="1080"/>
        </w:tabs>
        <w:spacing w:before="120" w:after="120" w:line="240" w:lineRule="auto"/>
        <w:rPr>
          <w:rFonts w:ascii="Verdana" w:eastAsia="Verdana" w:hAnsi="Verdana"/>
          <w:b/>
          <w:bCs/>
          <w:sz w:val="22"/>
          <w:lang w:eastAsia="en-US"/>
        </w:rPr>
      </w:pPr>
      <w:r>
        <w:rPr>
          <w:rFonts w:ascii="Verdana" w:eastAsia="Verdana" w:hAnsi="Verdana"/>
          <w:b/>
          <w:bCs/>
          <w:sz w:val="22"/>
          <w:lang w:eastAsia="en-US"/>
        </w:rPr>
        <w:t>Toeslagen</w:t>
      </w:r>
      <w:r w:rsidR="0018680A" w:rsidRPr="004D5E0F">
        <w:rPr>
          <w:rFonts w:ascii="Verdana" w:eastAsia="Verdana" w:hAnsi="Verdana"/>
          <w:b/>
          <w:bCs/>
          <w:sz w:val="22"/>
          <w:lang w:eastAsia="en-US"/>
        </w:rPr>
        <w:t xml:space="preserve">. </w:t>
      </w:r>
      <w:r w:rsidR="0032202A">
        <w:rPr>
          <w:rFonts w:ascii="Verdana" w:eastAsia="Verdana" w:hAnsi="Verdana"/>
          <w:b/>
          <w:bCs/>
          <w:sz w:val="22"/>
          <w:lang w:eastAsia="en-US"/>
        </w:rPr>
        <w:t>Compensatie</w:t>
      </w:r>
      <w:r w:rsidR="008C3953">
        <w:rPr>
          <w:rFonts w:ascii="Verdana" w:eastAsia="Verdana" w:hAnsi="Verdana"/>
          <w:b/>
          <w:bCs/>
          <w:sz w:val="22"/>
          <w:lang w:eastAsia="en-US"/>
        </w:rPr>
        <w:t>regeling</w:t>
      </w:r>
      <w:r w:rsidR="0032202A" w:rsidRPr="001546F1">
        <w:rPr>
          <w:rFonts w:ascii="Verdana" w:eastAsia="Verdana" w:hAnsi="Verdana"/>
          <w:b/>
          <w:bCs/>
          <w:sz w:val="22"/>
          <w:lang w:eastAsia="en-US"/>
        </w:rPr>
        <w:t xml:space="preserve"> </w:t>
      </w:r>
      <w:r w:rsidR="001546F1">
        <w:rPr>
          <w:rFonts w:ascii="Verdana" w:eastAsia="Verdana" w:hAnsi="Verdana"/>
          <w:b/>
          <w:bCs/>
          <w:sz w:val="22"/>
          <w:lang w:eastAsia="en-US"/>
        </w:rPr>
        <w:t>CAF 11</w:t>
      </w:r>
    </w:p>
    <w:p w:rsidR="0018680A" w:rsidRPr="00FE5C1A" w:rsidRDefault="00112E6D" w:rsidP="0018680A">
      <w:pPr>
        <w:widowControl/>
        <w:tabs>
          <w:tab w:val="left" w:pos="540"/>
          <w:tab w:val="left" w:pos="900"/>
          <w:tab w:val="left" w:pos="1080"/>
        </w:tabs>
        <w:spacing w:before="120" w:after="120" w:line="240" w:lineRule="auto"/>
        <w:rPr>
          <w:rFonts w:ascii="Verdana" w:hAnsi="Verdana" w:cs="Arial"/>
          <w:b/>
          <w:bCs/>
          <w:color w:val="FF0000"/>
        </w:rPr>
      </w:pPr>
      <w:r>
        <w:rPr>
          <w:rFonts w:ascii="Verdana" w:hAnsi="Verdana" w:cs="Arial"/>
          <w:b/>
          <w:bCs/>
        </w:rPr>
        <w:t xml:space="preserve">Directoraat-generaal </w:t>
      </w:r>
      <w:r w:rsidR="002F6B90" w:rsidRPr="001D3A83">
        <w:rPr>
          <w:rFonts w:ascii="Verdana" w:hAnsi="Verdana" w:cs="Arial"/>
          <w:b/>
          <w:bCs/>
        </w:rPr>
        <w:t>Belastingdienst/</w:t>
      </w:r>
      <w:r w:rsidR="007B00DE">
        <w:rPr>
          <w:rFonts w:ascii="Verdana" w:hAnsi="Verdana" w:cs="Arial"/>
          <w:b/>
          <w:bCs/>
        </w:rPr>
        <w:t xml:space="preserve">Corporate </w:t>
      </w:r>
      <w:r>
        <w:rPr>
          <w:rFonts w:ascii="Verdana" w:hAnsi="Verdana" w:cs="Arial"/>
          <w:b/>
          <w:bCs/>
        </w:rPr>
        <w:t>d</w:t>
      </w:r>
      <w:r w:rsidR="002F6B90" w:rsidRPr="001D3A83">
        <w:rPr>
          <w:rFonts w:ascii="Verdana" w:hAnsi="Verdana" w:cs="Arial"/>
          <w:b/>
          <w:bCs/>
        </w:rPr>
        <w:t>ie</w:t>
      </w:r>
      <w:r w:rsidR="007B00DE">
        <w:rPr>
          <w:rFonts w:ascii="Verdana" w:hAnsi="Verdana" w:cs="Arial"/>
          <w:b/>
          <w:bCs/>
        </w:rPr>
        <w:t>nst</w:t>
      </w:r>
      <w:r w:rsidR="002F6B90" w:rsidRPr="001D3A83">
        <w:rPr>
          <w:rFonts w:ascii="Verdana" w:hAnsi="Verdana" w:cs="Arial"/>
          <w:b/>
          <w:bCs/>
        </w:rPr>
        <w:t xml:space="preserve"> Vaktechniek</w:t>
      </w:r>
    </w:p>
    <w:p w:rsidR="0018680A" w:rsidRPr="00C55375" w:rsidRDefault="0018680A" w:rsidP="0018680A">
      <w:pPr>
        <w:widowControl/>
        <w:tabs>
          <w:tab w:val="left" w:pos="540"/>
          <w:tab w:val="left" w:pos="900"/>
          <w:tab w:val="left" w:pos="1080"/>
        </w:tabs>
        <w:spacing w:before="120" w:after="120" w:line="240" w:lineRule="auto"/>
        <w:outlineLvl w:val="0"/>
        <w:rPr>
          <w:rFonts w:ascii="Verdana" w:hAnsi="Verdana" w:cs="Arial"/>
          <w:b/>
          <w:bCs/>
        </w:rPr>
      </w:pPr>
      <w:r w:rsidRPr="00CF111C">
        <w:rPr>
          <w:rFonts w:ascii="Verdana" w:hAnsi="Verdana" w:cs="Arial"/>
          <w:b/>
          <w:bCs/>
        </w:rPr>
        <w:t>Besluit van</w:t>
      </w:r>
      <w:r w:rsidR="00063E24">
        <w:rPr>
          <w:rFonts w:ascii="Verdana" w:hAnsi="Verdana" w:cs="Arial"/>
          <w:b/>
          <w:bCs/>
        </w:rPr>
        <w:t xml:space="preserve"> …</w:t>
      </w:r>
      <w:r w:rsidRPr="00F83518">
        <w:rPr>
          <w:rFonts w:ascii="Verdana" w:hAnsi="Verdana" w:cs="Arial"/>
          <w:b/>
          <w:bCs/>
        </w:rPr>
        <w:t>,</w:t>
      </w:r>
      <w:r w:rsidRPr="00CF111C">
        <w:rPr>
          <w:rFonts w:ascii="Verdana" w:hAnsi="Verdana" w:cs="Arial"/>
          <w:b/>
          <w:bCs/>
        </w:rPr>
        <w:t xml:space="preserve"> nr. </w:t>
      </w:r>
      <w:r w:rsidR="00294479">
        <w:rPr>
          <w:rFonts w:ascii="Verdana" w:hAnsi="Verdana" w:cs="Arial"/>
          <w:b/>
          <w:bCs/>
        </w:rPr>
        <w:t>20</w:t>
      </w:r>
      <w:r w:rsidR="009001CC">
        <w:rPr>
          <w:rFonts w:ascii="Verdana" w:hAnsi="Verdana" w:cs="Arial"/>
          <w:b/>
          <w:bCs/>
        </w:rPr>
        <w:t>19</w:t>
      </w:r>
      <w:r w:rsidR="00294479">
        <w:rPr>
          <w:rFonts w:ascii="Verdana" w:hAnsi="Verdana" w:cs="Arial"/>
          <w:b/>
          <w:bCs/>
        </w:rPr>
        <w:t>-</w:t>
      </w:r>
      <w:r w:rsidR="00063E24">
        <w:rPr>
          <w:rFonts w:ascii="Verdana" w:hAnsi="Verdana" w:cs="Arial"/>
          <w:b/>
          <w:bCs/>
        </w:rPr>
        <w:t>200258</w:t>
      </w:r>
      <w:r w:rsidR="00C55375" w:rsidRPr="00C55375">
        <w:rPr>
          <w:rFonts w:ascii="Verdana" w:hAnsi="Verdana" w:cs="Arial"/>
          <w:b/>
          <w:bCs/>
        </w:rPr>
        <w:t>, Staatscourant 20</w:t>
      </w:r>
      <w:r w:rsidR="009001CC">
        <w:rPr>
          <w:rFonts w:ascii="Verdana" w:hAnsi="Verdana" w:cs="Arial"/>
          <w:b/>
          <w:bCs/>
        </w:rPr>
        <w:t>19</w:t>
      </w:r>
      <w:r w:rsidR="00C55375" w:rsidRPr="00C55375">
        <w:rPr>
          <w:rFonts w:ascii="Verdana" w:hAnsi="Verdana" w:cs="Arial"/>
          <w:b/>
          <w:bCs/>
        </w:rPr>
        <w:t xml:space="preserve">, </w:t>
      </w:r>
      <w:r w:rsidR="00F83518">
        <w:rPr>
          <w:rFonts w:ascii="Verdana" w:hAnsi="Verdana" w:cs="Arial"/>
          <w:b/>
          <w:bCs/>
        </w:rPr>
        <w:t>…</w:t>
      </w:r>
    </w:p>
    <w:p w:rsidR="0018680A" w:rsidRPr="00CF111C" w:rsidRDefault="0018680A" w:rsidP="0018680A">
      <w:pPr>
        <w:widowControl/>
        <w:tabs>
          <w:tab w:val="left" w:pos="540"/>
          <w:tab w:val="left" w:pos="900"/>
          <w:tab w:val="left" w:pos="1080"/>
        </w:tabs>
        <w:spacing w:before="120" w:after="120" w:line="240" w:lineRule="auto"/>
        <w:rPr>
          <w:rFonts w:ascii="Verdana" w:hAnsi="Verdana" w:cs="Arial"/>
          <w:b/>
          <w:bCs/>
        </w:rPr>
      </w:pPr>
      <w:r w:rsidRPr="00CF111C">
        <w:rPr>
          <w:rFonts w:ascii="Verdana" w:hAnsi="Verdana" w:cs="Arial"/>
          <w:b/>
          <w:bCs/>
        </w:rPr>
        <w:t xml:space="preserve">De </w:t>
      </w:r>
      <w:r w:rsidR="000703E8">
        <w:rPr>
          <w:rFonts w:ascii="Verdana" w:hAnsi="Verdana" w:cs="Arial"/>
          <w:b/>
          <w:bCs/>
        </w:rPr>
        <w:t>S</w:t>
      </w:r>
      <w:r w:rsidR="00E05706">
        <w:rPr>
          <w:rFonts w:ascii="Verdana" w:hAnsi="Verdana" w:cs="Arial"/>
          <w:b/>
          <w:bCs/>
        </w:rPr>
        <w:t>taatssecretaris</w:t>
      </w:r>
      <w:r w:rsidR="00E05706" w:rsidRPr="00CF111C">
        <w:rPr>
          <w:rFonts w:ascii="Verdana" w:hAnsi="Verdana" w:cs="Arial"/>
          <w:b/>
          <w:bCs/>
        </w:rPr>
        <w:t xml:space="preserve"> </w:t>
      </w:r>
      <w:r w:rsidRPr="00CF111C">
        <w:rPr>
          <w:rFonts w:ascii="Verdana" w:hAnsi="Verdana" w:cs="Arial"/>
          <w:b/>
          <w:bCs/>
        </w:rPr>
        <w:t>van Financiën heeft het volgende besloten.</w:t>
      </w:r>
    </w:p>
    <w:p w:rsidR="0018680A" w:rsidRPr="00CF111C" w:rsidRDefault="00A345C4" w:rsidP="0018680A">
      <w:pPr>
        <w:widowControl/>
        <w:tabs>
          <w:tab w:val="left" w:pos="540"/>
          <w:tab w:val="left" w:pos="900"/>
          <w:tab w:val="left" w:pos="1080"/>
        </w:tabs>
        <w:spacing w:before="120" w:after="120" w:line="240" w:lineRule="auto"/>
        <w:rPr>
          <w:rFonts w:ascii="Verdana" w:hAnsi="Verdana" w:cs="Arial"/>
          <w:i/>
          <w:iCs/>
        </w:rPr>
      </w:pPr>
      <w:r>
        <w:rPr>
          <w:rFonts w:ascii="Verdana" w:hAnsi="Verdana" w:cs="Arial"/>
          <w:i/>
          <w:iCs/>
        </w:rPr>
        <w:t xml:space="preserve">Dit </w:t>
      </w:r>
      <w:r w:rsidR="0018680A" w:rsidRPr="00CF111C">
        <w:rPr>
          <w:rFonts w:ascii="Verdana" w:hAnsi="Verdana" w:cs="Arial"/>
          <w:i/>
          <w:iCs/>
        </w:rPr>
        <w:t>besluit</w:t>
      </w:r>
      <w:r>
        <w:rPr>
          <w:rFonts w:ascii="Verdana" w:hAnsi="Verdana" w:cs="Arial"/>
          <w:i/>
          <w:iCs/>
        </w:rPr>
        <w:t xml:space="preserve"> bevat </w:t>
      </w:r>
      <w:r w:rsidR="009001CC">
        <w:rPr>
          <w:rFonts w:ascii="Verdana" w:hAnsi="Verdana" w:cs="Arial"/>
          <w:i/>
          <w:iCs/>
        </w:rPr>
        <w:t xml:space="preserve">regels voor de verstrekking van een </w:t>
      </w:r>
      <w:r w:rsidR="0032202A">
        <w:rPr>
          <w:rFonts w:ascii="Verdana" w:hAnsi="Verdana" w:cs="Arial"/>
          <w:i/>
          <w:iCs/>
        </w:rPr>
        <w:t xml:space="preserve">compensatie </w:t>
      </w:r>
      <w:r w:rsidR="009001CC">
        <w:rPr>
          <w:rFonts w:ascii="Verdana" w:hAnsi="Verdana" w:cs="Arial"/>
          <w:i/>
          <w:iCs/>
        </w:rPr>
        <w:t xml:space="preserve">in </w:t>
      </w:r>
      <w:r w:rsidR="00F8736D">
        <w:rPr>
          <w:rFonts w:ascii="Verdana" w:hAnsi="Verdana" w:cs="Arial"/>
          <w:i/>
          <w:iCs/>
        </w:rPr>
        <w:t xml:space="preserve">het kader van </w:t>
      </w:r>
      <w:r w:rsidR="00C9252C">
        <w:rPr>
          <w:rFonts w:ascii="Verdana" w:hAnsi="Verdana" w:cs="Arial"/>
          <w:i/>
          <w:iCs/>
        </w:rPr>
        <w:t>CAF 11</w:t>
      </w:r>
      <w:r w:rsidR="009001CC">
        <w:rPr>
          <w:rFonts w:ascii="Verdana" w:hAnsi="Verdana" w:cs="Arial"/>
          <w:i/>
          <w:iCs/>
        </w:rPr>
        <w:t>.</w:t>
      </w:r>
    </w:p>
    <w:p w:rsidR="0023680B" w:rsidRDefault="0023680B" w:rsidP="0018680A">
      <w:pPr>
        <w:widowControl/>
        <w:tabs>
          <w:tab w:val="left" w:pos="540"/>
          <w:tab w:val="left" w:pos="900"/>
          <w:tab w:val="left" w:pos="1080"/>
        </w:tabs>
        <w:spacing w:before="120" w:after="120" w:line="240" w:lineRule="auto"/>
        <w:outlineLvl w:val="0"/>
        <w:rPr>
          <w:rFonts w:ascii="Verdana" w:hAnsi="Verdana" w:cs="Arial"/>
          <w:b/>
          <w:bCs/>
        </w:rPr>
      </w:pPr>
    </w:p>
    <w:p w:rsidR="0018680A" w:rsidRPr="00CF111C" w:rsidRDefault="0018680A" w:rsidP="0018680A">
      <w:pPr>
        <w:widowControl/>
        <w:tabs>
          <w:tab w:val="left" w:pos="540"/>
          <w:tab w:val="left" w:pos="900"/>
          <w:tab w:val="left" w:pos="1080"/>
        </w:tabs>
        <w:spacing w:before="120" w:after="120" w:line="240" w:lineRule="auto"/>
        <w:outlineLvl w:val="0"/>
        <w:rPr>
          <w:rFonts w:ascii="Verdana" w:hAnsi="Verdana" w:cs="Arial"/>
        </w:rPr>
      </w:pPr>
      <w:r w:rsidRPr="00CF111C">
        <w:rPr>
          <w:rFonts w:ascii="Verdana" w:hAnsi="Verdana" w:cs="Arial"/>
          <w:b/>
          <w:bCs/>
        </w:rPr>
        <w:t>1.</w:t>
      </w:r>
      <w:r w:rsidRPr="00CF111C">
        <w:rPr>
          <w:rFonts w:ascii="Verdana" w:hAnsi="Verdana" w:cs="Arial"/>
          <w:b/>
          <w:bCs/>
        </w:rPr>
        <w:tab/>
        <w:t>Inleiding</w:t>
      </w:r>
    </w:p>
    <w:p w:rsidR="008A25D3" w:rsidRDefault="004E0255" w:rsidP="0018680A">
      <w:pPr>
        <w:widowControl/>
        <w:tabs>
          <w:tab w:val="left" w:pos="540"/>
          <w:tab w:val="left" w:pos="900"/>
          <w:tab w:val="left" w:pos="1080"/>
        </w:tabs>
        <w:spacing w:before="120" w:after="120" w:line="240" w:lineRule="auto"/>
        <w:rPr>
          <w:rFonts w:ascii="Verdana" w:hAnsi="Verdana" w:cs="Arial"/>
        </w:rPr>
      </w:pPr>
      <w:r>
        <w:rPr>
          <w:rFonts w:ascii="Verdana" w:hAnsi="Verdana" w:cs="Arial"/>
        </w:rPr>
        <w:t xml:space="preserve">De Adviescommissie uitvoering toeslagen </w:t>
      </w:r>
      <w:r w:rsidR="002C5FBD">
        <w:rPr>
          <w:rFonts w:ascii="Verdana" w:hAnsi="Verdana" w:cs="Arial"/>
        </w:rPr>
        <w:t xml:space="preserve">(hierna: de Adviescommissie) </w:t>
      </w:r>
      <w:r>
        <w:rPr>
          <w:rFonts w:ascii="Verdana" w:hAnsi="Verdana" w:cs="Arial"/>
        </w:rPr>
        <w:t xml:space="preserve">heeft op 14 november 2019 het interimadvies “Omzien in Verwondering” uitgebracht. De aanbevelingen uit dit advies </w:t>
      </w:r>
      <w:r w:rsidR="00AD61D8">
        <w:rPr>
          <w:rFonts w:ascii="Verdana" w:hAnsi="Verdana" w:cs="Arial"/>
        </w:rPr>
        <w:t>zijn</w:t>
      </w:r>
      <w:r>
        <w:rPr>
          <w:rFonts w:ascii="Verdana" w:hAnsi="Verdana" w:cs="Arial"/>
        </w:rPr>
        <w:t xml:space="preserve"> overgenomen. De Adviescommissie stelt een compensatieregeling voor. </w:t>
      </w:r>
      <w:r w:rsidR="0032202A">
        <w:rPr>
          <w:rFonts w:ascii="Verdana" w:hAnsi="Verdana" w:cs="Arial"/>
        </w:rPr>
        <w:t xml:space="preserve">Voor het </w:t>
      </w:r>
      <w:r w:rsidR="00BE6375">
        <w:rPr>
          <w:rFonts w:ascii="Verdana" w:hAnsi="Verdana" w:cs="Arial"/>
        </w:rPr>
        <w:t xml:space="preserve">toekennen </w:t>
      </w:r>
      <w:r w:rsidR="0032202A">
        <w:rPr>
          <w:rFonts w:ascii="Verdana" w:hAnsi="Verdana" w:cs="Arial"/>
        </w:rPr>
        <w:t xml:space="preserve">van compensatie </w:t>
      </w:r>
      <w:r w:rsidR="00BA1559">
        <w:rPr>
          <w:rFonts w:ascii="Verdana" w:hAnsi="Verdana" w:cs="Arial"/>
        </w:rPr>
        <w:t xml:space="preserve">aan de ouder die onderdeel uitmaakt van het CAF 11-onderzoek </w:t>
      </w:r>
      <w:r w:rsidR="0032202A">
        <w:rPr>
          <w:rFonts w:ascii="Verdana" w:hAnsi="Verdana" w:cs="Arial"/>
        </w:rPr>
        <w:t xml:space="preserve">zal in een wettelijke </w:t>
      </w:r>
      <w:r w:rsidR="0023680B">
        <w:rPr>
          <w:rFonts w:ascii="Verdana" w:hAnsi="Verdana" w:cs="Arial"/>
        </w:rPr>
        <w:t>grondslag</w:t>
      </w:r>
      <w:r w:rsidR="0032202A">
        <w:rPr>
          <w:rFonts w:ascii="Verdana" w:hAnsi="Verdana" w:cs="Arial"/>
        </w:rPr>
        <w:t xml:space="preserve"> worden voorzien</w:t>
      </w:r>
      <w:r w:rsidR="00DE5ECE">
        <w:rPr>
          <w:rFonts w:ascii="Verdana" w:hAnsi="Verdana" w:cs="Arial"/>
        </w:rPr>
        <w:t>.</w:t>
      </w:r>
      <w:r w:rsidR="0032202A">
        <w:rPr>
          <w:rFonts w:ascii="Verdana" w:hAnsi="Verdana" w:cs="Arial"/>
        </w:rPr>
        <w:t xml:space="preserve"> </w:t>
      </w:r>
      <w:r>
        <w:rPr>
          <w:rFonts w:ascii="Verdana" w:hAnsi="Verdana" w:cs="Arial"/>
        </w:rPr>
        <w:t xml:space="preserve">Vooruitlopend op deze wettelijke grondslag </w:t>
      </w:r>
      <w:r w:rsidR="00166FE3">
        <w:rPr>
          <w:rFonts w:ascii="Verdana" w:hAnsi="Verdana" w:cs="Arial"/>
        </w:rPr>
        <w:t>is</w:t>
      </w:r>
      <w:r>
        <w:rPr>
          <w:rFonts w:ascii="Verdana" w:hAnsi="Verdana" w:cs="Arial"/>
        </w:rPr>
        <w:t xml:space="preserve"> goedgekeurd dat de Belastingdienst/Toeslagen de door de Adviescommissie voorgestelde compensatie al uitvoert. </w:t>
      </w:r>
    </w:p>
    <w:p w:rsidR="004E0255" w:rsidRDefault="00B342CF" w:rsidP="0018680A">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 xml:space="preserve">De Adviescommissie onderscheidt </w:t>
      </w:r>
      <w:r w:rsidR="004E0255">
        <w:rPr>
          <w:rFonts w:ascii="Verdana" w:hAnsi="Verdana" w:cs="Arial"/>
          <w:bCs/>
        </w:rPr>
        <w:t>zes elementen van compensatie:</w:t>
      </w:r>
    </w:p>
    <w:p w:rsidR="004E0255" w:rsidRDefault="004E0255" w:rsidP="004E0255">
      <w:pPr>
        <w:pStyle w:val="Lijstalinea"/>
        <w:widowControl/>
        <w:numPr>
          <w:ilvl w:val="0"/>
          <w:numId w:val="15"/>
        </w:numPr>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Compensatie voor correctiebesluiten.</w:t>
      </w:r>
    </w:p>
    <w:p w:rsidR="004E0255" w:rsidRDefault="004E0255" w:rsidP="004E0255">
      <w:pPr>
        <w:pStyle w:val="Lijstalinea"/>
        <w:widowControl/>
        <w:numPr>
          <w:ilvl w:val="0"/>
          <w:numId w:val="15"/>
        </w:numPr>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Compensatie voor veronderstelde immateriële schade.</w:t>
      </w:r>
    </w:p>
    <w:p w:rsidR="004E0255" w:rsidRDefault="004E0255" w:rsidP="004E0255">
      <w:pPr>
        <w:pStyle w:val="Lijstalinea"/>
        <w:widowControl/>
        <w:numPr>
          <w:ilvl w:val="0"/>
          <w:numId w:val="15"/>
        </w:numPr>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Compensatie voor veronderstelde materiële schade.</w:t>
      </w:r>
    </w:p>
    <w:p w:rsidR="004E0255" w:rsidRDefault="004E0255" w:rsidP="004E0255">
      <w:pPr>
        <w:pStyle w:val="Lijstalinea"/>
        <w:widowControl/>
        <w:numPr>
          <w:ilvl w:val="0"/>
          <w:numId w:val="15"/>
        </w:numPr>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Compensatie voor invorderingskosten.</w:t>
      </w:r>
    </w:p>
    <w:p w:rsidR="004E0255" w:rsidRDefault="004E0255" w:rsidP="004E0255">
      <w:pPr>
        <w:pStyle w:val="Lijstalinea"/>
        <w:widowControl/>
        <w:numPr>
          <w:ilvl w:val="0"/>
          <w:numId w:val="15"/>
        </w:numPr>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Compensatie voor proceskosten.</w:t>
      </w:r>
    </w:p>
    <w:p w:rsidR="004E0255" w:rsidRPr="004E0255" w:rsidRDefault="004E0255" w:rsidP="004E0255">
      <w:pPr>
        <w:pStyle w:val="Lijstalinea"/>
        <w:widowControl/>
        <w:numPr>
          <w:ilvl w:val="0"/>
          <w:numId w:val="15"/>
        </w:numPr>
        <w:tabs>
          <w:tab w:val="left" w:pos="540"/>
          <w:tab w:val="left" w:pos="900"/>
          <w:tab w:val="left" w:pos="1080"/>
        </w:tabs>
        <w:spacing w:before="120" w:after="120" w:line="240" w:lineRule="auto"/>
        <w:outlineLvl w:val="0"/>
        <w:rPr>
          <w:rFonts w:ascii="Verdana" w:hAnsi="Verdana" w:cs="Arial"/>
          <w:bCs/>
        </w:rPr>
      </w:pPr>
      <w:r w:rsidRPr="004E0255">
        <w:rPr>
          <w:rFonts w:ascii="Verdana" w:hAnsi="Verdana" w:cs="Arial"/>
          <w:bCs/>
        </w:rPr>
        <w:t xml:space="preserve">Bedragen die in mindering worden gebracht. </w:t>
      </w:r>
    </w:p>
    <w:p w:rsidR="004E0255" w:rsidRDefault="004E0255" w:rsidP="004E0255">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 xml:space="preserve">Voorts wordt een aanvullende compensatie aangeboden voor schade </w:t>
      </w:r>
      <w:r w:rsidR="001926F1">
        <w:rPr>
          <w:rFonts w:ascii="Verdana" w:hAnsi="Verdana" w:cs="Arial"/>
          <w:bCs/>
        </w:rPr>
        <w:t>d</w:t>
      </w:r>
      <w:r>
        <w:rPr>
          <w:rFonts w:ascii="Verdana" w:hAnsi="Verdana" w:cs="Arial"/>
          <w:bCs/>
        </w:rPr>
        <w:t xml:space="preserve">oor </w:t>
      </w:r>
      <w:r w:rsidR="00BA1559">
        <w:rPr>
          <w:rFonts w:ascii="Verdana" w:hAnsi="Verdana" w:cs="Arial"/>
          <w:bCs/>
        </w:rPr>
        <w:t xml:space="preserve">gedwongen verkoop van bezittingen </w:t>
      </w:r>
      <w:r>
        <w:rPr>
          <w:rFonts w:ascii="Verdana" w:hAnsi="Verdana" w:cs="Arial"/>
          <w:bCs/>
        </w:rPr>
        <w:t xml:space="preserve">en de gevolgschade </w:t>
      </w:r>
      <w:r w:rsidR="008C3953">
        <w:rPr>
          <w:rFonts w:ascii="Verdana" w:hAnsi="Verdana" w:cs="Arial"/>
          <w:bCs/>
        </w:rPr>
        <w:t xml:space="preserve">die de compensatie heeft </w:t>
      </w:r>
      <w:r>
        <w:rPr>
          <w:rFonts w:ascii="Verdana" w:hAnsi="Verdana" w:cs="Arial"/>
          <w:bCs/>
        </w:rPr>
        <w:t xml:space="preserve">voor toeslagen. </w:t>
      </w:r>
    </w:p>
    <w:p w:rsidR="004E0255" w:rsidRDefault="004E0255" w:rsidP="0018680A">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 xml:space="preserve">Bovenstaande elementen uit het interimadvies zijn overgenomen in dit besluit. </w:t>
      </w:r>
      <w:r w:rsidRPr="004E0255">
        <w:rPr>
          <w:rFonts w:ascii="Verdana" w:hAnsi="Verdana" w:cs="Arial"/>
          <w:bCs/>
        </w:rPr>
        <w:t xml:space="preserve">De elementen a t/m e komen terug </w:t>
      </w:r>
      <w:r>
        <w:rPr>
          <w:rFonts w:ascii="Verdana" w:hAnsi="Verdana" w:cs="Arial"/>
          <w:bCs/>
        </w:rPr>
        <w:t>in onderdeel 3 van dit besluit. De aanvullende compensatie is opgenomen in onderdeel 4 van dit besluit. Ten slotte komt het element f terug in onderdeel 5 van dit besluit.</w:t>
      </w:r>
    </w:p>
    <w:p w:rsidR="009625E1" w:rsidRPr="00DE7300" w:rsidRDefault="0018680A" w:rsidP="0018680A">
      <w:pPr>
        <w:widowControl/>
        <w:tabs>
          <w:tab w:val="left" w:pos="540"/>
          <w:tab w:val="left" w:pos="900"/>
          <w:tab w:val="left" w:pos="1080"/>
        </w:tabs>
        <w:spacing w:before="120" w:after="120" w:line="240" w:lineRule="auto"/>
        <w:outlineLvl w:val="0"/>
        <w:rPr>
          <w:rFonts w:ascii="Verdana" w:hAnsi="Verdana" w:cs="Arial"/>
          <w:bCs/>
          <w:i/>
        </w:rPr>
      </w:pPr>
      <w:r w:rsidRPr="00DE7300">
        <w:rPr>
          <w:rFonts w:ascii="Verdana" w:hAnsi="Verdana" w:cs="Arial"/>
          <w:bCs/>
        </w:rPr>
        <w:t>Gebruikte begrippen en afkortingen</w:t>
      </w:r>
      <w:r w:rsidR="00DE7300">
        <w:rPr>
          <w:rFonts w:ascii="Verdana" w:hAnsi="Verdana" w:cs="Arial"/>
          <w:bCs/>
        </w:rPr>
        <w:t>:</w:t>
      </w:r>
    </w:p>
    <w:tbl>
      <w:tblPr>
        <w:tblW w:w="8051" w:type="dxa"/>
        <w:tblInd w:w="-5" w:type="dxa"/>
        <w:tblLook w:val="0000" w:firstRow="0" w:lastRow="0" w:firstColumn="0" w:lastColumn="0" w:noHBand="0" w:noVBand="0"/>
      </w:tblPr>
      <w:tblGrid>
        <w:gridCol w:w="2273"/>
        <w:gridCol w:w="5778"/>
      </w:tblGrid>
      <w:tr w:rsidR="00E540EE" w:rsidRPr="00CF111C" w:rsidTr="00720045">
        <w:tc>
          <w:tcPr>
            <w:tcW w:w="2273" w:type="dxa"/>
          </w:tcPr>
          <w:p w:rsidR="00E540EE" w:rsidRPr="00CF111C" w:rsidRDefault="00E540EE" w:rsidP="0018680A">
            <w:pPr>
              <w:tabs>
                <w:tab w:val="left" w:pos="142"/>
                <w:tab w:val="left" w:pos="540"/>
                <w:tab w:val="left" w:pos="900"/>
                <w:tab w:val="left" w:pos="1080"/>
              </w:tabs>
              <w:outlineLvl w:val="0"/>
              <w:rPr>
                <w:rFonts w:ascii="Verdana" w:hAnsi="Verdana" w:cs="Arial"/>
              </w:rPr>
            </w:pPr>
            <w:r>
              <w:rPr>
                <w:rFonts w:ascii="Verdana" w:hAnsi="Verdana" w:cs="Arial"/>
              </w:rPr>
              <w:t>Awb</w:t>
            </w:r>
          </w:p>
        </w:tc>
        <w:tc>
          <w:tcPr>
            <w:tcW w:w="5778" w:type="dxa"/>
          </w:tcPr>
          <w:p w:rsidR="00E540EE" w:rsidRPr="00CF111C" w:rsidRDefault="00E540EE" w:rsidP="0018680A">
            <w:pPr>
              <w:tabs>
                <w:tab w:val="left" w:pos="142"/>
                <w:tab w:val="left" w:pos="540"/>
                <w:tab w:val="left" w:pos="900"/>
                <w:tab w:val="left" w:pos="1080"/>
              </w:tabs>
              <w:outlineLvl w:val="0"/>
              <w:rPr>
                <w:rFonts w:ascii="Verdana" w:hAnsi="Verdana" w:cs="Arial"/>
              </w:rPr>
            </w:pPr>
            <w:r>
              <w:rPr>
                <w:rFonts w:ascii="Verdana" w:hAnsi="Verdana" w:cs="Arial"/>
              </w:rPr>
              <w:t>Algemene wet bestuursrecht</w:t>
            </w:r>
          </w:p>
        </w:tc>
      </w:tr>
      <w:tr w:rsidR="00FD575C" w:rsidRPr="00CF111C" w:rsidTr="00720045">
        <w:tc>
          <w:tcPr>
            <w:tcW w:w="2273" w:type="dxa"/>
          </w:tcPr>
          <w:p w:rsidR="00FD575C" w:rsidRDefault="00FD575C" w:rsidP="0018680A">
            <w:pPr>
              <w:tabs>
                <w:tab w:val="left" w:pos="142"/>
                <w:tab w:val="left" w:pos="540"/>
                <w:tab w:val="left" w:pos="900"/>
                <w:tab w:val="left" w:pos="1080"/>
              </w:tabs>
              <w:outlineLvl w:val="0"/>
              <w:rPr>
                <w:rFonts w:ascii="Verdana" w:hAnsi="Verdana" w:cs="Arial"/>
              </w:rPr>
            </w:pPr>
            <w:r>
              <w:rPr>
                <w:rFonts w:ascii="Verdana" w:hAnsi="Verdana" w:cs="Arial"/>
              </w:rPr>
              <w:t>CAF</w:t>
            </w:r>
          </w:p>
        </w:tc>
        <w:tc>
          <w:tcPr>
            <w:tcW w:w="5778" w:type="dxa"/>
          </w:tcPr>
          <w:p w:rsidR="00FD575C" w:rsidRDefault="00FD575C" w:rsidP="0018680A">
            <w:pPr>
              <w:tabs>
                <w:tab w:val="left" w:pos="142"/>
                <w:tab w:val="left" w:pos="540"/>
                <w:tab w:val="left" w:pos="900"/>
                <w:tab w:val="left" w:pos="1080"/>
              </w:tabs>
              <w:outlineLvl w:val="0"/>
              <w:rPr>
                <w:rFonts w:ascii="Verdana" w:hAnsi="Verdana" w:cs="Arial"/>
              </w:rPr>
            </w:pPr>
            <w:r>
              <w:rPr>
                <w:rFonts w:ascii="Verdana" w:hAnsi="Verdana" w:cs="Arial"/>
              </w:rPr>
              <w:t>Combiteam Aanpak Facilitators</w:t>
            </w:r>
          </w:p>
        </w:tc>
      </w:tr>
      <w:tr w:rsidR="00DE5ECE" w:rsidRPr="00CF111C" w:rsidTr="00720045">
        <w:tc>
          <w:tcPr>
            <w:tcW w:w="2273" w:type="dxa"/>
          </w:tcPr>
          <w:p w:rsidR="00DE5ECE" w:rsidRDefault="00DE5ECE" w:rsidP="00E540EE">
            <w:pPr>
              <w:tabs>
                <w:tab w:val="left" w:pos="142"/>
                <w:tab w:val="left" w:pos="540"/>
                <w:tab w:val="left" w:pos="900"/>
                <w:tab w:val="left" w:pos="1080"/>
              </w:tabs>
              <w:outlineLvl w:val="0"/>
              <w:rPr>
                <w:rFonts w:ascii="Verdana" w:hAnsi="Verdana" w:cs="Arial"/>
              </w:rPr>
            </w:pPr>
            <w:r>
              <w:rPr>
                <w:rFonts w:ascii="Verdana" w:hAnsi="Verdana" w:cs="Arial"/>
              </w:rPr>
              <w:t>Ouder</w:t>
            </w:r>
          </w:p>
        </w:tc>
        <w:tc>
          <w:tcPr>
            <w:tcW w:w="5778" w:type="dxa"/>
          </w:tcPr>
          <w:p w:rsidR="00DE5ECE" w:rsidRDefault="003525C3" w:rsidP="003525C3">
            <w:pPr>
              <w:tabs>
                <w:tab w:val="left" w:pos="142"/>
                <w:tab w:val="left" w:pos="540"/>
                <w:tab w:val="left" w:pos="900"/>
                <w:tab w:val="left" w:pos="1080"/>
              </w:tabs>
              <w:outlineLvl w:val="0"/>
              <w:rPr>
                <w:rFonts w:ascii="Verdana" w:hAnsi="Verdana" w:cs="Arial"/>
              </w:rPr>
            </w:pPr>
            <w:r>
              <w:rPr>
                <w:rFonts w:ascii="Verdana" w:hAnsi="Verdana" w:cs="Arial"/>
              </w:rPr>
              <w:t>O</w:t>
            </w:r>
            <w:r w:rsidR="00DE5ECE">
              <w:rPr>
                <w:rFonts w:ascii="Verdana" w:hAnsi="Verdana" w:cs="Arial"/>
              </w:rPr>
              <w:t>uder</w:t>
            </w:r>
            <w:r>
              <w:rPr>
                <w:rFonts w:ascii="Verdana" w:hAnsi="Verdana" w:cs="Arial"/>
              </w:rPr>
              <w:t xml:space="preserve"> als bedoeld in artikel 1.1 </w:t>
            </w:r>
            <w:r w:rsidR="008B0771">
              <w:rPr>
                <w:rFonts w:ascii="Verdana" w:hAnsi="Verdana" w:cs="Arial"/>
              </w:rPr>
              <w:t>van de Wet kinderopvang</w:t>
            </w:r>
          </w:p>
        </w:tc>
      </w:tr>
      <w:tr w:rsidR="004E0255" w:rsidRPr="00CF111C" w:rsidTr="00720045">
        <w:tc>
          <w:tcPr>
            <w:tcW w:w="2273" w:type="dxa"/>
          </w:tcPr>
          <w:p w:rsidR="004E0255" w:rsidRDefault="00720045" w:rsidP="00720045">
            <w:pPr>
              <w:tabs>
                <w:tab w:val="left" w:pos="142"/>
                <w:tab w:val="left" w:pos="540"/>
                <w:tab w:val="left" w:pos="900"/>
                <w:tab w:val="left" w:pos="1080"/>
              </w:tabs>
              <w:outlineLvl w:val="0"/>
              <w:rPr>
                <w:rFonts w:ascii="Verdana" w:hAnsi="Verdana" w:cs="Arial"/>
              </w:rPr>
            </w:pPr>
            <w:r>
              <w:rPr>
                <w:rFonts w:ascii="Verdana" w:hAnsi="Verdana" w:cs="Arial"/>
              </w:rPr>
              <w:t>Neerwaarts</w:t>
            </w:r>
            <w:r w:rsidR="004E0255">
              <w:rPr>
                <w:rFonts w:ascii="Verdana" w:hAnsi="Verdana" w:cs="Arial"/>
              </w:rPr>
              <w:t xml:space="preserve"> correctiebe</w:t>
            </w:r>
            <w:r>
              <w:rPr>
                <w:rFonts w:ascii="Verdana" w:hAnsi="Verdana" w:cs="Arial"/>
              </w:rPr>
              <w:t>sluit</w:t>
            </w:r>
          </w:p>
        </w:tc>
        <w:tc>
          <w:tcPr>
            <w:tcW w:w="5778" w:type="dxa"/>
          </w:tcPr>
          <w:p w:rsidR="004E0255" w:rsidRDefault="00720045" w:rsidP="001926F1">
            <w:pPr>
              <w:tabs>
                <w:tab w:val="left" w:pos="142"/>
                <w:tab w:val="left" w:pos="540"/>
                <w:tab w:val="left" w:pos="900"/>
                <w:tab w:val="left" w:pos="1080"/>
              </w:tabs>
              <w:outlineLvl w:val="0"/>
              <w:rPr>
                <w:rFonts w:ascii="Verdana" w:hAnsi="Verdana" w:cs="Arial"/>
              </w:rPr>
            </w:pPr>
            <w:r>
              <w:rPr>
                <w:rFonts w:ascii="Verdana" w:hAnsi="Verdana" w:cs="Arial"/>
              </w:rPr>
              <w:t xml:space="preserve">Het besluit om de </w:t>
            </w:r>
            <w:r w:rsidR="00032BB9">
              <w:rPr>
                <w:rFonts w:ascii="Verdana" w:hAnsi="Verdana" w:cs="Arial"/>
              </w:rPr>
              <w:t xml:space="preserve">aanspraak op </w:t>
            </w:r>
            <w:r>
              <w:rPr>
                <w:rFonts w:ascii="Verdana" w:hAnsi="Verdana" w:cs="Arial"/>
              </w:rPr>
              <w:t xml:space="preserve">kinderopvangtoeslag te verminderen - met inbegrip van het besluit tot stopzetting </w:t>
            </w:r>
            <w:r w:rsidR="001926F1">
              <w:rPr>
                <w:rFonts w:ascii="Verdana" w:hAnsi="Verdana" w:cs="Arial"/>
              </w:rPr>
              <w:t>-</w:t>
            </w:r>
            <w:r>
              <w:rPr>
                <w:rFonts w:ascii="Verdana" w:hAnsi="Verdana" w:cs="Arial"/>
              </w:rPr>
              <w:t xml:space="preserve"> na</w:t>
            </w:r>
            <w:r w:rsidR="001926F1">
              <w:rPr>
                <w:rFonts w:ascii="Verdana" w:hAnsi="Verdana" w:cs="Arial"/>
              </w:rPr>
              <w:t>ar aanleiding van het</w:t>
            </w:r>
            <w:r>
              <w:rPr>
                <w:rFonts w:ascii="Verdana" w:hAnsi="Verdana" w:cs="Arial"/>
              </w:rPr>
              <w:t xml:space="preserve"> onderzoek </w:t>
            </w:r>
            <w:r w:rsidR="001926F1">
              <w:rPr>
                <w:rFonts w:ascii="Verdana" w:hAnsi="Verdana" w:cs="Arial"/>
              </w:rPr>
              <w:t>in verband met de bevindingen</w:t>
            </w:r>
            <w:r>
              <w:rPr>
                <w:rFonts w:ascii="Verdana" w:hAnsi="Verdana" w:cs="Arial"/>
              </w:rPr>
              <w:t xml:space="preserve"> van het CAF-team</w:t>
            </w:r>
          </w:p>
        </w:tc>
      </w:tr>
      <w:tr w:rsidR="00FD575C" w:rsidRPr="00CF111C" w:rsidTr="00720045">
        <w:tc>
          <w:tcPr>
            <w:tcW w:w="2273" w:type="dxa"/>
          </w:tcPr>
          <w:p w:rsidR="00FD575C" w:rsidRDefault="00FD575C" w:rsidP="00E540EE">
            <w:pPr>
              <w:tabs>
                <w:tab w:val="left" w:pos="142"/>
                <w:tab w:val="left" w:pos="540"/>
                <w:tab w:val="left" w:pos="900"/>
                <w:tab w:val="left" w:pos="1080"/>
              </w:tabs>
              <w:outlineLvl w:val="0"/>
              <w:rPr>
                <w:rFonts w:ascii="Verdana" w:hAnsi="Verdana" w:cs="Arial"/>
              </w:rPr>
            </w:pPr>
            <w:r>
              <w:rPr>
                <w:rFonts w:ascii="Verdana" w:hAnsi="Verdana" w:cs="Arial"/>
              </w:rPr>
              <w:t>Wet IB 2001</w:t>
            </w:r>
          </w:p>
        </w:tc>
        <w:tc>
          <w:tcPr>
            <w:tcW w:w="5778" w:type="dxa"/>
          </w:tcPr>
          <w:p w:rsidR="00FD575C" w:rsidRDefault="00FD575C" w:rsidP="00E540EE">
            <w:pPr>
              <w:tabs>
                <w:tab w:val="left" w:pos="142"/>
                <w:tab w:val="left" w:pos="540"/>
                <w:tab w:val="left" w:pos="900"/>
                <w:tab w:val="left" w:pos="1080"/>
              </w:tabs>
              <w:outlineLvl w:val="0"/>
              <w:rPr>
                <w:rFonts w:ascii="Verdana" w:hAnsi="Verdana" w:cs="Arial"/>
              </w:rPr>
            </w:pPr>
            <w:r>
              <w:rPr>
                <w:rFonts w:ascii="Verdana" w:hAnsi="Verdana" w:cs="Arial"/>
              </w:rPr>
              <w:t>Wet inkomstenbelasting 2001</w:t>
            </w:r>
          </w:p>
        </w:tc>
      </w:tr>
    </w:tbl>
    <w:p w:rsidR="00FD575C" w:rsidRDefault="00FD575C" w:rsidP="0018680A">
      <w:pPr>
        <w:widowControl/>
        <w:tabs>
          <w:tab w:val="left" w:pos="540"/>
          <w:tab w:val="left" w:pos="900"/>
          <w:tab w:val="left" w:pos="1080"/>
        </w:tabs>
        <w:spacing w:before="120" w:after="120" w:line="240" w:lineRule="auto"/>
        <w:outlineLvl w:val="0"/>
        <w:rPr>
          <w:rFonts w:ascii="Verdana" w:hAnsi="Verdana" w:cs="Arial"/>
          <w:b/>
          <w:bCs/>
        </w:rPr>
      </w:pPr>
    </w:p>
    <w:p w:rsidR="00A81BD5" w:rsidRDefault="0018680A" w:rsidP="0018680A">
      <w:pPr>
        <w:widowControl/>
        <w:tabs>
          <w:tab w:val="left" w:pos="540"/>
          <w:tab w:val="left" w:pos="900"/>
          <w:tab w:val="left" w:pos="1080"/>
        </w:tabs>
        <w:spacing w:before="120" w:after="120" w:line="240" w:lineRule="auto"/>
        <w:outlineLvl w:val="0"/>
        <w:rPr>
          <w:rFonts w:ascii="Verdana" w:hAnsi="Verdana" w:cs="Arial"/>
          <w:b/>
          <w:bCs/>
        </w:rPr>
      </w:pPr>
      <w:r w:rsidRPr="00CF111C">
        <w:rPr>
          <w:rFonts w:ascii="Verdana" w:hAnsi="Verdana" w:cs="Arial"/>
          <w:b/>
          <w:bCs/>
        </w:rPr>
        <w:t>2.</w:t>
      </w:r>
      <w:r w:rsidR="00A81BD5">
        <w:rPr>
          <w:rFonts w:ascii="Verdana" w:hAnsi="Verdana" w:cs="Arial"/>
          <w:b/>
          <w:bCs/>
        </w:rPr>
        <w:tab/>
      </w:r>
      <w:r w:rsidR="00BB7CA9">
        <w:rPr>
          <w:rFonts w:ascii="Verdana" w:hAnsi="Verdana" w:cs="Arial"/>
          <w:b/>
          <w:bCs/>
        </w:rPr>
        <w:t>D</w:t>
      </w:r>
      <w:r w:rsidR="00A81BD5">
        <w:rPr>
          <w:rFonts w:ascii="Verdana" w:hAnsi="Verdana" w:cs="Arial"/>
          <w:b/>
          <w:bCs/>
        </w:rPr>
        <w:t>oelgroep</w:t>
      </w:r>
    </w:p>
    <w:p w:rsidR="00720045" w:rsidRDefault="0032202A" w:rsidP="0018680A">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 xml:space="preserve">Dit besluit voorziet in een compensatie voor </w:t>
      </w:r>
      <w:r w:rsidR="00BE6375">
        <w:rPr>
          <w:rFonts w:ascii="Verdana" w:hAnsi="Verdana" w:cs="Arial"/>
          <w:bCs/>
        </w:rPr>
        <w:t>de ouder die onderdeel uitmaakt van het CAF 11-onderzoek</w:t>
      </w:r>
      <w:r w:rsidR="00FB229C">
        <w:rPr>
          <w:rFonts w:ascii="Verdana" w:hAnsi="Verdana" w:cs="Arial"/>
          <w:bCs/>
        </w:rPr>
        <w:t xml:space="preserve"> bij de vaststelling (van het voorschot) van de kinderopvangtoeslag</w:t>
      </w:r>
      <w:r w:rsidR="008D1C84">
        <w:rPr>
          <w:rFonts w:ascii="Verdana" w:hAnsi="Verdana" w:cs="Arial"/>
          <w:bCs/>
        </w:rPr>
        <w:t xml:space="preserve">. </w:t>
      </w:r>
      <w:r w:rsidR="00B63F19">
        <w:rPr>
          <w:rFonts w:ascii="Verdana" w:hAnsi="Verdana" w:cs="Arial"/>
          <w:bCs/>
        </w:rPr>
        <w:t>Het gaat dan om</w:t>
      </w:r>
      <w:r w:rsidR="00565E70">
        <w:rPr>
          <w:rFonts w:ascii="Verdana" w:hAnsi="Verdana" w:cs="Arial"/>
          <w:bCs/>
        </w:rPr>
        <w:t xml:space="preserve"> </w:t>
      </w:r>
      <w:r w:rsidR="00B63F19">
        <w:rPr>
          <w:rFonts w:ascii="Verdana" w:hAnsi="Verdana" w:cs="Arial"/>
          <w:bCs/>
        </w:rPr>
        <w:t xml:space="preserve">de </w:t>
      </w:r>
      <w:r w:rsidR="00DE5ECE">
        <w:rPr>
          <w:rFonts w:ascii="Verdana" w:hAnsi="Verdana" w:cs="Arial"/>
          <w:bCs/>
        </w:rPr>
        <w:t>ouder</w:t>
      </w:r>
      <w:r w:rsidR="00565E70">
        <w:rPr>
          <w:rFonts w:ascii="Verdana" w:hAnsi="Verdana" w:cs="Arial"/>
          <w:bCs/>
        </w:rPr>
        <w:t xml:space="preserve"> </w:t>
      </w:r>
      <w:r w:rsidR="006859D6">
        <w:rPr>
          <w:rFonts w:ascii="Verdana" w:hAnsi="Verdana" w:cs="Arial"/>
          <w:bCs/>
        </w:rPr>
        <w:t>ten aanzien waarvan</w:t>
      </w:r>
      <w:r w:rsidR="00565E70">
        <w:rPr>
          <w:rFonts w:ascii="Verdana" w:hAnsi="Verdana" w:cs="Arial"/>
          <w:bCs/>
        </w:rPr>
        <w:t xml:space="preserve"> </w:t>
      </w:r>
      <w:r w:rsidR="00D956F0">
        <w:rPr>
          <w:rFonts w:ascii="Verdana" w:hAnsi="Verdana" w:cs="Arial"/>
          <w:bCs/>
        </w:rPr>
        <w:t xml:space="preserve">de Belastingdienst/Toeslagen correctiebesluiten </w:t>
      </w:r>
      <w:r w:rsidR="001926F1">
        <w:rPr>
          <w:rFonts w:ascii="Verdana" w:hAnsi="Verdana" w:cs="Arial"/>
          <w:bCs/>
        </w:rPr>
        <w:t xml:space="preserve">over de </w:t>
      </w:r>
      <w:r w:rsidR="00BE6375">
        <w:rPr>
          <w:rFonts w:ascii="Verdana" w:hAnsi="Verdana" w:cs="Arial"/>
          <w:bCs/>
        </w:rPr>
        <w:t>berekenings</w:t>
      </w:r>
      <w:r w:rsidR="001926F1">
        <w:rPr>
          <w:rFonts w:ascii="Verdana" w:hAnsi="Verdana" w:cs="Arial"/>
          <w:bCs/>
        </w:rPr>
        <w:t xml:space="preserve">jaren 2012, </w:t>
      </w:r>
      <w:r w:rsidR="001926F1">
        <w:rPr>
          <w:rFonts w:ascii="Verdana" w:hAnsi="Verdana" w:cs="Arial"/>
          <w:bCs/>
        </w:rPr>
        <w:lastRenderedPageBreak/>
        <w:t xml:space="preserve">2013 en/of 2014 </w:t>
      </w:r>
      <w:r w:rsidR="00D956F0">
        <w:rPr>
          <w:rFonts w:ascii="Verdana" w:hAnsi="Verdana" w:cs="Arial"/>
          <w:bCs/>
        </w:rPr>
        <w:t xml:space="preserve">heeft genomen </w:t>
      </w:r>
      <w:r w:rsidR="00FB229C">
        <w:rPr>
          <w:rFonts w:ascii="Verdana" w:hAnsi="Verdana" w:cs="Arial"/>
          <w:bCs/>
        </w:rPr>
        <w:t>en</w:t>
      </w:r>
      <w:r w:rsidR="00D956F0">
        <w:rPr>
          <w:rFonts w:ascii="Verdana" w:hAnsi="Verdana" w:cs="Arial"/>
          <w:bCs/>
        </w:rPr>
        <w:t xml:space="preserve"> </w:t>
      </w:r>
      <w:r w:rsidR="001926F1">
        <w:rPr>
          <w:rFonts w:ascii="Verdana" w:hAnsi="Verdana" w:cs="Arial"/>
          <w:bCs/>
        </w:rPr>
        <w:t>(</w:t>
      </w:r>
      <w:r w:rsidR="00DE5ECE">
        <w:rPr>
          <w:rFonts w:ascii="Verdana" w:hAnsi="Verdana" w:cs="Arial"/>
          <w:bCs/>
        </w:rPr>
        <w:t xml:space="preserve">het voorschot </w:t>
      </w:r>
      <w:r w:rsidR="001926F1">
        <w:rPr>
          <w:rFonts w:ascii="Verdana" w:hAnsi="Verdana" w:cs="Arial"/>
          <w:bCs/>
        </w:rPr>
        <w:t xml:space="preserve">van) de </w:t>
      </w:r>
      <w:r w:rsidR="00836E5B">
        <w:rPr>
          <w:rFonts w:ascii="Verdana" w:hAnsi="Verdana" w:cs="Arial"/>
          <w:bCs/>
        </w:rPr>
        <w:t xml:space="preserve">kinderopvangtoeslag </w:t>
      </w:r>
      <w:r w:rsidR="00B63F19">
        <w:rPr>
          <w:rFonts w:ascii="Verdana" w:hAnsi="Verdana" w:cs="Arial"/>
          <w:bCs/>
        </w:rPr>
        <w:t xml:space="preserve">is </w:t>
      </w:r>
      <w:r w:rsidR="00836E5B">
        <w:rPr>
          <w:rFonts w:ascii="Verdana" w:hAnsi="Verdana" w:cs="Arial"/>
          <w:bCs/>
        </w:rPr>
        <w:t xml:space="preserve">stopgezet </w:t>
      </w:r>
      <w:r w:rsidR="00B20123">
        <w:rPr>
          <w:rFonts w:ascii="Verdana" w:hAnsi="Verdana" w:cs="Arial"/>
          <w:bCs/>
        </w:rPr>
        <w:t xml:space="preserve">of </w:t>
      </w:r>
      <w:r w:rsidR="00D956F0">
        <w:rPr>
          <w:rFonts w:ascii="Verdana" w:hAnsi="Verdana" w:cs="Arial"/>
          <w:bCs/>
        </w:rPr>
        <w:t>is teruggevorderd</w:t>
      </w:r>
      <w:r w:rsidR="00BB7CA9">
        <w:rPr>
          <w:rFonts w:ascii="Verdana" w:hAnsi="Verdana" w:cs="Arial"/>
          <w:bCs/>
        </w:rPr>
        <w:t>.</w:t>
      </w:r>
      <w:r w:rsidR="00C829C4">
        <w:rPr>
          <w:rFonts w:ascii="Verdana" w:hAnsi="Verdana" w:cs="Arial"/>
          <w:bCs/>
        </w:rPr>
        <w:t xml:space="preserve"> </w:t>
      </w:r>
      <w:r w:rsidR="00C25EF4">
        <w:rPr>
          <w:rFonts w:ascii="Verdana" w:hAnsi="Verdana" w:cs="Arial"/>
          <w:bCs/>
        </w:rPr>
        <w:t xml:space="preserve">Voor de toepassing van dit compensatiebesluit wordt ervan uitgegaan dat de ouder </w:t>
      </w:r>
      <w:r w:rsidR="0014472D">
        <w:rPr>
          <w:rFonts w:ascii="Verdana" w:hAnsi="Verdana" w:cs="Arial"/>
          <w:bCs/>
        </w:rPr>
        <w:t xml:space="preserve">die een vooraankondiging ontvangt van de Belastingdienst/Toeslagen </w:t>
      </w:r>
      <w:r w:rsidR="00C25EF4">
        <w:rPr>
          <w:rFonts w:ascii="Verdana" w:hAnsi="Verdana" w:cs="Arial"/>
          <w:bCs/>
        </w:rPr>
        <w:t xml:space="preserve">een aanvraag voor compensatie heeft ingediend. </w:t>
      </w:r>
    </w:p>
    <w:p w:rsidR="00E83808" w:rsidRPr="00720045" w:rsidRDefault="00E83808" w:rsidP="0018680A">
      <w:pPr>
        <w:widowControl/>
        <w:tabs>
          <w:tab w:val="left" w:pos="540"/>
          <w:tab w:val="left" w:pos="900"/>
          <w:tab w:val="left" w:pos="1080"/>
        </w:tabs>
        <w:spacing w:before="120" w:after="120" w:line="240" w:lineRule="auto"/>
        <w:outlineLvl w:val="0"/>
        <w:rPr>
          <w:rFonts w:ascii="Verdana" w:hAnsi="Verdana" w:cs="Arial"/>
          <w:bCs/>
        </w:rPr>
      </w:pPr>
      <w:r w:rsidRPr="00720045">
        <w:rPr>
          <w:rFonts w:ascii="Verdana" w:hAnsi="Verdana" w:cs="Arial"/>
          <w:bCs/>
        </w:rPr>
        <w:t>De compensatieregeling geldt niet voor situaties waarin sprake is van</w:t>
      </w:r>
      <w:r w:rsidR="008A1A4C" w:rsidRPr="00720045">
        <w:rPr>
          <w:rFonts w:ascii="Verdana" w:hAnsi="Verdana" w:cs="Arial"/>
          <w:bCs/>
        </w:rPr>
        <w:t xml:space="preserve"> een ernstige onregelmatigheid. Hiervan is sprake</w:t>
      </w:r>
      <w:r w:rsidRPr="00720045">
        <w:rPr>
          <w:rFonts w:ascii="Verdana" w:hAnsi="Verdana" w:cs="Arial"/>
          <w:bCs/>
        </w:rPr>
        <w:t>:</w:t>
      </w:r>
      <w:r w:rsidRPr="00720045">
        <w:rPr>
          <w:rFonts w:ascii="Verdana" w:hAnsi="Verdana" w:cs="Arial"/>
          <w:bCs/>
        </w:rPr>
        <w:br/>
        <w:t xml:space="preserve">- </w:t>
      </w:r>
      <w:r w:rsidR="008A1A4C" w:rsidRPr="00720045">
        <w:rPr>
          <w:rFonts w:ascii="Verdana" w:hAnsi="Verdana" w:cs="Arial"/>
          <w:bCs/>
        </w:rPr>
        <w:t xml:space="preserve">als blijkt dat </w:t>
      </w:r>
      <w:r w:rsidR="00E91BCB" w:rsidRPr="00720045">
        <w:rPr>
          <w:rFonts w:ascii="Verdana" w:hAnsi="Verdana" w:cs="Arial"/>
          <w:bCs/>
        </w:rPr>
        <w:t>de ouder</w:t>
      </w:r>
      <w:r w:rsidRPr="00720045">
        <w:rPr>
          <w:rFonts w:ascii="Verdana" w:hAnsi="Verdana" w:cs="Arial"/>
          <w:bCs/>
        </w:rPr>
        <w:t xml:space="preserve"> evident geen recht op kinderopvangtoeslag </w:t>
      </w:r>
      <w:r w:rsidR="00E91BCB" w:rsidRPr="00720045">
        <w:rPr>
          <w:rFonts w:ascii="Verdana" w:hAnsi="Verdana" w:cs="Arial"/>
          <w:bCs/>
        </w:rPr>
        <w:t>had</w:t>
      </w:r>
      <w:r w:rsidRPr="00720045">
        <w:rPr>
          <w:rFonts w:ascii="Verdana" w:hAnsi="Verdana" w:cs="Arial"/>
          <w:bCs/>
        </w:rPr>
        <w:t xml:space="preserve"> in het onderzochte </w:t>
      </w:r>
      <w:r w:rsidR="00BE6375">
        <w:rPr>
          <w:rFonts w:ascii="Verdana" w:hAnsi="Verdana" w:cs="Arial"/>
          <w:bCs/>
        </w:rPr>
        <w:t>berekenings</w:t>
      </w:r>
      <w:r w:rsidR="00BE6375" w:rsidRPr="00720045">
        <w:rPr>
          <w:rFonts w:ascii="Verdana" w:hAnsi="Verdana" w:cs="Arial"/>
          <w:bCs/>
        </w:rPr>
        <w:t>jaar</w:t>
      </w:r>
      <w:r w:rsidRPr="00720045">
        <w:rPr>
          <w:rFonts w:ascii="Verdana" w:hAnsi="Verdana" w:cs="Arial"/>
          <w:bCs/>
        </w:rPr>
        <w:t>; of</w:t>
      </w:r>
      <w:r w:rsidRPr="00720045">
        <w:rPr>
          <w:rFonts w:ascii="Verdana" w:hAnsi="Verdana" w:cs="Arial"/>
          <w:bCs/>
        </w:rPr>
        <w:br/>
        <w:t>-</w:t>
      </w:r>
      <w:r w:rsidR="008A1A4C" w:rsidRPr="00720045">
        <w:rPr>
          <w:rFonts w:ascii="Verdana" w:hAnsi="Verdana" w:cs="Arial"/>
          <w:bCs/>
        </w:rPr>
        <w:t xml:space="preserve"> als </w:t>
      </w:r>
      <w:r w:rsidR="00E91BCB" w:rsidRPr="00720045">
        <w:rPr>
          <w:rFonts w:ascii="Verdana" w:hAnsi="Verdana" w:cs="Arial"/>
          <w:bCs/>
        </w:rPr>
        <w:t xml:space="preserve">de </w:t>
      </w:r>
      <w:r w:rsidR="008A1A4C" w:rsidRPr="00720045">
        <w:rPr>
          <w:rFonts w:ascii="Verdana" w:hAnsi="Verdana" w:cs="Arial"/>
          <w:bCs/>
        </w:rPr>
        <w:t xml:space="preserve">ouder </w:t>
      </w:r>
      <w:r w:rsidR="00720045">
        <w:rPr>
          <w:rFonts w:ascii="Verdana" w:hAnsi="Verdana" w:cs="Arial"/>
          <w:bCs/>
        </w:rPr>
        <w:t xml:space="preserve">ook </w:t>
      </w:r>
      <w:r w:rsidR="008A1A4C" w:rsidRPr="00720045">
        <w:rPr>
          <w:rFonts w:ascii="Verdana" w:hAnsi="Verdana" w:cs="Arial"/>
          <w:bCs/>
        </w:rPr>
        <w:t xml:space="preserve">na (herhaalde) verzoeken om informatie niets van zich </w:t>
      </w:r>
      <w:r w:rsidR="00E91BCB" w:rsidRPr="00720045">
        <w:rPr>
          <w:rFonts w:ascii="Verdana" w:hAnsi="Verdana" w:cs="Arial"/>
          <w:bCs/>
        </w:rPr>
        <w:t>heeft</w:t>
      </w:r>
      <w:r w:rsidR="008A1A4C" w:rsidRPr="00720045">
        <w:rPr>
          <w:rFonts w:ascii="Verdana" w:hAnsi="Verdana" w:cs="Arial"/>
          <w:bCs/>
        </w:rPr>
        <w:t xml:space="preserve"> laten horen, niet op ingeplande afspraken </w:t>
      </w:r>
      <w:r w:rsidR="00E91BCB" w:rsidRPr="00720045">
        <w:rPr>
          <w:rFonts w:ascii="Verdana" w:hAnsi="Verdana" w:cs="Arial"/>
          <w:bCs/>
        </w:rPr>
        <w:t>is</w:t>
      </w:r>
      <w:r w:rsidR="008A1A4C" w:rsidRPr="00720045">
        <w:rPr>
          <w:rFonts w:ascii="Verdana" w:hAnsi="Verdana" w:cs="Arial"/>
          <w:bCs/>
        </w:rPr>
        <w:t xml:space="preserve"> verschenen en ook </w:t>
      </w:r>
      <w:r w:rsidR="0009472C">
        <w:rPr>
          <w:rFonts w:ascii="Verdana" w:hAnsi="Verdana" w:cs="Arial"/>
          <w:bCs/>
        </w:rPr>
        <w:t>nooit</w:t>
      </w:r>
      <w:r w:rsidR="008A1A4C" w:rsidRPr="00720045">
        <w:rPr>
          <w:rFonts w:ascii="Verdana" w:hAnsi="Verdana" w:cs="Arial"/>
          <w:bCs/>
        </w:rPr>
        <w:t xml:space="preserve"> bezwaar </w:t>
      </w:r>
      <w:r w:rsidR="00E91BCB" w:rsidRPr="00720045">
        <w:rPr>
          <w:rFonts w:ascii="Verdana" w:hAnsi="Verdana" w:cs="Arial"/>
          <w:bCs/>
        </w:rPr>
        <w:t>heeft</w:t>
      </w:r>
      <w:r w:rsidR="008A1A4C" w:rsidRPr="00720045">
        <w:rPr>
          <w:rFonts w:ascii="Verdana" w:hAnsi="Verdana" w:cs="Arial"/>
          <w:bCs/>
        </w:rPr>
        <w:t xml:space="preserve"> </w:t>
      </w:r>
      <w:r w:rsidR="00BE6375">
        <w:rPr>
          <w:rFonts w:ascii="Verdana" w:hAnsi="Verdana" w:cs="Arial"/>
          <w:bCs/>
        </w:rPr>
        <w:t>gemaakt</w:t>
      </w:r>
      <w:r w:rsidR="008A1A4C" w:rsidRPr="00720045">
        <w:rPr>
          <w:rFonts w:ascii="Verdana" w:hAnsi="Verdana" w:cs="Arial"/>
          <w:bCs/>
        </w:rPr>
        <w:t xml:space="preserve">. </w:t>
      </w:r>
    </w:p>
    <w:p w:rsidR="0014472D" w:rsidRPr="00FA01DE" w:rsidRDefault="0014472D" w:rsidP="0014472D">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Een ouder die van mening is dat hij of zij door de Belastingdienst/Toeslagen ten onrechte niet tot de doelgroep wordt gerekend, kan een aanvraag tot compensatie indienen. De Belastingdienst/Toeslagen beslist hierop bij voor bezwaar vatbare beschikking.  </w:t>
      </w:r>
    </w:p>
    <w:p w:rsidR="008A1A4C" w:rsidRDefault="008A1A4C" w:rsidP="0018680A">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 xml:space="preserve">Er </w:t>
      </w:r>
      <w:r w:rsidR="00720045">
        <w:rPr>
          <w:rFonts w:ascii="Verdana" w:hAnsi="Verdana" w:cs="Arial"/>
          <w:bCs/>
        </w:rPr>
        <w:t>wordt</w:t>
      </w:r>
      <w:r>
        <w:rPr>
          <w:rFonts w:ascii="Verdana" w:hAnsi="Verdana" w:cs="Arial"/>
          <w:bCs/>
        </w:rPr>
        <w:t xml:space="preserve"> een commissie van </w:t>
      </w:r>
      <w:r w:rsidR="00192243">
        <w:rPr>
          <w:rFonts w:ascii="Verdana" w:hAnsi="Verdana" w:cs="Arial"/>
          <w:bCs/>
        </w:rPr>
        <w:t>drie onafhankelijke deskundigen</w:t>
      </w:r>
      <w:r>
        <w:rPr>
          <w:rFonts w:ascii="Verdana" w:hAnsi="Verdana" w:cs="Arial"/>
          <w:bCs/>
        </w:rPr>
        <w:t xml:space="preserve"> ingesteld die wordt geraadpleegd als </w:t>
      </w:r>
      <w:r w:rsidR="00BE6375">
        <w:rPr>
          <w:rFonts w:ascii="Verdana" w:hAnsi="Verdana" w:cs="Arial"/>
          <w:bCs/>
        </w:rPr>
        <w:t xml:space="preserve">de </w:t>
      </w:r>
      <w:r>
        <w:rPr>
          <w:rFonts w:ascii="Verdana" w:hAnsi="Verdana" w:cs="Arial"/>
          <w:bCs/>
        </w:rPr>
        <w:t xml:space="preserve">Belastingdienst/Toeslagen voornemens is </w:t>
      </w:r>
      <w:r w:rsidR="00E91BCB">
        <w:rPr>
          <w:rFonts w:ascii="Verdana" w:hAnsi="Verdana" w:cs="Arial"/>
          <w:bCs/>
        </w:rPr>
        <w:t>geen</w:t>
      </w:r>
      <w:r>
        <w:rPr>
          <w:rFonts w:ascii="Verdana" w:hAnsi="Verdana" w:cs="Arial"/>
          <w:bCs/>
        </w:rPr>
        <w:t xml:space="preserve"> compensatie </w:t>
      </w:r>
      <w:r w:rsidR="00E91BCB">
        <w:rPr>
          <w:rFonts w:ascii="Verdana" w:hAnsi="Verdana" w:cs="Arial"/>
          <w:bCs/>
        </w:rPr>
        <w:t>te verstrekken</w:t>
      </w:r>
      <w:r>
        <w:rPr>
          <w:rFonts w:ascii="Verdana" w:hAnsi="Verdana" w:cs="Arial"/>
          <w:bCs/>
        </w:rPr>
        <w:t>.</w:t>
      </w:r>
      <w:r w:rsidR="00192243">
        <w:rPr>
          <w:rFonts w:ascii="Verdana" w:hAnsi="Verdana" w:cs="Arial"/>
          <w:bCs/>
        </w:rPr>
        <w:t xml:space="preserve"> Het oordeel van deze commissie wordt door de Belastingdienst/Toeslagen gevolgd.</w:t>
      </w:r>
      <w:r w:rsidR="000D6D6C">
        <w:rPr>
          <w:rFonts w:ascii="Verdana" w:hAnsi="Verdana" w:cs="Arial"/>
          <w:bCs/>
        </w:rPr>
        <w:t xml:space="preserve"> Als de commissie besluit dat de ouder geen recht heeft op de compensatieregeling, dan stelt de Belastingdienst/Toeslagen dit bij voor bezwaar vatbare beschikking vast.</w:t>
      </w:r>
    </w:p>
    <w:p w:rsidR="00FA01DE" w:rsidRDefault="00FA01DE" w:rsidP="0018680A">
      <w:pPr>
        <w:widowControl/>
        <w:tabs>
          <w:tab w:val="left" w:pos="540"/>
          <w:tab w:val="left" w:pos="900"/>
          <w:tab w:val="left" w:pos="1080"/>
        </w:tabs>
        <w:spacing w:before="120" w:after="120" w:line="240" w:lineRule="auto"/>
        <w:outlineLvl w:val="0"/>
        <w:rPr>
          <w:rFonts w:ascii="Verdana" w:hAnsi="Verdana" w:cs="Arial"/>
          <w:b/>
        </w:rPr>
      </w:pPr>
    </w:p>
    <w:p w:rsidR="00B30867" w:rsidRDefault="00243667" w:rsidP="00752F99">
      <w:pPr>
        <w:widowControl/>
        <w:tabs>
          <w:tab w:val="left" w:pos="540"/>
          <w:tab w:val="left" w:pos="900"/>
          <w:tab w:val="left" w:pos="1080"/>
        </w:tabs>
        <w:spacing w:before="120" w:after="120" w:line="240" w:lineRule="auto"/>
        <w:outlineLvl w:val="0"/>
        <w:rPr>
          <w:rFonts w:ascii="Verdana" w:hAnsi="Verdana" w:cs="Arial"/>
          <w:b/>
        </w:rPr>
      </w:pPr>
      <w:r>
        <w:rPr>
          <w:rFonts w:ascii="Verdana" w:hAnsi="Verdana" w:cs="Arial"/>
          <w:b/>
        </w:rPr>
        <w:t>3</w:t>
      </w:r>
      <w:r w:rsidR="00B30867" w:rsidRPr="00B30867">
        <w:rPr>
          <w:rFonts w:ascii="Verdana" w:hAnsi="Verdana" w:cs="Arial"/>
          <w:b/>
        </w:rPr>
        <w:t>.</w:t>
      </w:r>
      <w:r w:rsidR="00B30867" w:rsidRPr="00B30867">
        <w:rPr>
          <w:rFonts w:ascii="Verdana" w:hAnsi="Verdana" w:cs="Arial"/>
          <w:b/>
        </w:rPr>
        <w:tab/>
      </w:r>
      <w:r w:rsidR="00841ACD">
        <w:rPr>
          <w:rFonts w:ascii="Verdana" w:hAnsi="Verdana" w:cs="Arial"/>
          <w:b/>
        </w:rPr>
        <w:t>Compensatie</w:t>
      </w:r>
      <w:r w:rsidR="00620215">
        <w:rPr>
          <w:rFonts w:ascii="Verdana" w:hAnsi="Verdana" w:cs="Arial"/>
          <w:b/>
        </w:rPr>
        <w:t xml:space="preserve"> </w:t>
      </w:r>
    </w:p>
    <w:p w:rsidR="00326FE5" w:rsidRPr="005E67F1" w:rsidRDefault="00D4677D" w:rsidP="0018680A">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Een</w:t>
      </w:r>
      <w:r w:rsidR="008F7574">
        <w:rPr>
          <w:rFonts w:ascii="Verdana" w:hAnsi="Verdana" w:cs="Arial"/>
          <w:bCs/>
        </w:rPr>
        <w:t xml:space="preserve"> ouder </w:t>
      </w:r>
      <w:r>
        <w:rPr>
          <w:rFonts w:ascii="Verdana" w:hAnsi="Verdana" w:cs="Arial"/>
          <w:bCs/>
        </w:rPr>
        <w:t xml:space="preserve">als </w:t>
      </w:r>
      <w:r w:rsidR="008F7574">
        <w:rPr>
          <w:rFonts w:ascii="Verdana" w:hAnsi="Verdana" w:cs="Arial"/>
          <w:bCs/>
        </w:rPr>
        <w:t>bedoeld</w:t>
      </w:r>
      <w:r w:rsidR="00BB7CA9">
        <w:rPr>
          <w:rFonts w:ascii="Verdana" w:hAnsi="Verdana" w:cs="Arial"/>
          <w:bCs/>
        </w:rPr>
        <w:t xml:space="preserve"> in </w:t>
      </w:r>
      <w:r w:rsidR="008F7574">
        <w:rPr>
          <w:rFonts w:ascii="Verdana" w:hAnsi="Verdana" w:cs="Arial"/>
          <w:bCs/>
        </w:rPr>
        <w:t>onderdeel</w:t>
      </w:r>
      <w:r w:rsidR="00BB7CA9">
        <w:rPr>
          <w:rFonts w:ascii="Verdana" w:hAnsi="Verdana" w:cs="Arial"/>
          <w:bCs/>
        </w:rPr>
        <w:t xml:space="preserve"> </w:t>
      </w:r>
      <w:r w:rsidR="005F6B38">
        <w:rPr>
          <w:rFonts w:ascii="Verdana" w:hAnsi="Verdana" w:cs="Arial"/>
          <w:bCs/>
        </w:rPr>
        <w:t xml:space="preserve">2 </w:t>
      </w:r>
      <w:r w:rsidR="00BB7CA9">
        <w:rPr>
          <w:rFonts w:ascii="Verdana" w:hAnsi="Verdana" w:cs="Arial"/>
          <w:bCs/>
        </w:rPr>
        <w:t>heeft recht op een compensatie</w:t>
      </w:r>
      <w:r w:rsidR="008904DE">
        <w:rPr>
          <w:rFonts w:ascii="Verdana" w:hAnsi="Verdana" w:cs="Arial"/>
          <w:bCs/>
        </w:rPr>
        <w:t>.</w:t>
      </w:r>
      <w:r w:rsidR="00BB7CA9">
        <w:rPr>
          <w:rFonts w:ascii="Verdana" w:hAnsi="Verdana" w:cs="Arial"/>
          <w:bCs/>
        </w:rPr>
        <w:t xml:space="preserve"> </w:t>
      </w:r>
    </w:p>
    <w:p w:rsidR="00326FE5" w:rsidRPr="00C829C4" w:rsidRDefault="00326FE5" w:rsidP="00C829C4">
      <w:pPr>
        <w:widowControl/>
        <w:tabs>
          <w:tab w:val="left" w:pos="540"/>
          <w:tab w:val="left" w:pos="900"/>
          <w:tab w:val="left" w:pos="1080"/>
        </w:tabs>
        <w:spacing w:before="120" w:after="120" w:line="240" w:lineRule="auto"/>
        <w:ind w:left="567" w:hanging="567"/>
        <w:outlineLvl w:val="0"/>
        <w:rPr>
          <w:rFonts w:ascii="Verdana" w:hAnsi="Verdana" w:cs="Arial"/>
          <w:b/>
          <w:i/>
        </w:rPr>
      </w:pPr>
      <w:r w:rsidRPr="00C829C4">
        <w:rPr>
          <w:rFonts w:ascii="Verdana" w:hAnsi="Verdana" w:cs="Arial"/>
          <w:b/>
          <w:i/>
        </w:rPr>
        <w:t xml:space="preserve">3.1 </w:t>
      </w:r>
      <w:r w:rsidRPr="00C829C4">
        <w:rPr>
          <w:rFonts w:ascii="Verdana" w:hAnsi="Verdana" w:cs="Arial"/>
          <w:b/>
          <w:i/>
        </w:rPr>
        <w:tab/>
        <w:t>Elementen van de compensatie</w:t>
      </w:r>
    </w:p>
    <w:p w:rsidR="003536E0" w:rsidRDefault="003536E0"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w:t>
      </w:r>
      <w:r w:rsidR="00565E70">
        <w:rPr>
          <w:rFonts w:ascii="Verdana" w:hAnsi="Verdana" w:cs="Arial"/>
        </w:rPr>
        <w:t xml:space="preserve">compensatie </w:t>
      </w:r>
      <w:r>
        <w:rPr>
          <w:rFonts w:ascii="Verdana" w:hAnsi="Verdana" w:cs="Arial"/>
        </w:rPr>
        <w:t xml:space="preserve">bestaat uit een geldbedrag dat </w:t>
      </w:r>
      <w:r w:rsidR="00BE6375">
        <w:rPr>
          <w:rFonts w:ascii="Verdana" w:hAnsi="Verdana" w:cs="Arial"/>
        </w:rPr>
        <w:t xml:space="preserve">de </w:t>
      </w:r>
      <w:r w:rsidR="00BB7CA9">
        <w:rPr>
          <w:rFonts w:ascii="Verdana" w:hAnsi="Verdana" w:cs="Arial"/>
        </w:rPr>
        <w:t xml:space="preserve">Belastingdienst/Toeslagen </w:t>
      </w:r>
      <w:r>
        <w:rPr>
          <w:rFonts w:ascii="Verdana" w:hAnsi="Verdana" w:cs="Arial"/>
        </w:rPr>
        <w:t>uitbetaal</w:t>
      </w:r>
      <w:r w:rsidR="00BB7CA9">
        <w:rPr>
          <w:rFonts w:ascii="Verdana" w:hAnsi="Verdana" w:cs="Arial"/>
        </w:rPr>
        <w:t>t</w:t>
      </w:r>
      <w:r>
        <w:rPr>
          <w:rFonts w:ascii="Verdana" w:hAnsi="Verdana" w:cs="Arial"/>
        </w:rPr>
        <w:t xml:space="preserve"> aan de </w:t>
      </w:r>
      <w:r w:rsidR="007C42C7">
        <w:rPr>
          <w:rFonts w:ascii="Verdana" w:hAnsi="Verdana" w:cs="Arial"/>
        </w:rPr>
        <w:t>ouder</w:t>
      </w:r>
      <w:r>
        <w:rPr>
          <w:rFonts w:ascii="Verdana" w:hAnsi="Verdana" w:cs="Arial"/>
        </w:rPr>
        <w:t xml:space="preserve">. De </w:t>
      </w:r>
      <w:r w:rsidR="00565E70">
        <w:rPr>
          <w:rFonts w:ascii="Verdana" w:hAnsi="Verdana" w:cs="Arial"/>
        </w:rPr>
        <w:t xml:space="preserve">compensatie </w:t>
      </w:r>
      <w:r w:rsidR="00BE6375">
        <w:rPr>
          <w:rFonts w:ascii="Verdana" w:hAnsi="Verdana" w:cs="Arial"/>
        </w:rPr>
        <w:t xml:space="preserve">bevat </w:t>
      </w:r>
      <w:r w:rsidR="008C3953">
        <w:rPr>
          <w:rFonts w:ascii="Verdana" w:hAnsi="Verdana" w:cs="Arial"/>
        </w:rPr>
        <w:t xml:space="preserve">zes </w:t>
      </w:r>
      <w:r w:rsidR="00565E70">
        <w:rPr>
          <w:rFonts w:ascii="Verdana" w:hAnsi="Verdana" w:cs="Arial"/>
        </w:rPr>
        <w:t>elementen</w:t>
      </w:r>
      <w:r w:rsidR="008C3953">
        <w:rPr>
          <w:rFonts w:ascii="Verdana" w:hAnsi="Verdana" w:cs="Arial"/>
        </w:rPr>
        <w:t>, waarvan het zesde element in onderdeel 5 wordt behandeld</w:t>
      </w:r>
      <w:r>
        <w:rPr>
          <w:rFonts w:ascii="Verdana" w:hAnsi="Verdana" w:cs="Arial"/>
        </w:rPr>
        <w:t>:</w:t>
      </w:r>
    </w:p>
    <w:p w:rsidR="003536E0" w:rsidRDefault="00565E70" w:rsidP="00C829C4">
      <w:pPr>
        <w:pStyle w:val="Lijstalinea"/>
        <w:widowControl/>
        <w:numPr>
          <w:ilvl w:val="0"/>
          <w:numId w:val="10"/>
        </w:numPr>
        <w:tabs>
          <w:tab w:val="left" w:pos="540"/>
          <w:tab w:val="left" w:pos="900"/>
          <w:tab w:val="left" w:pos="1080"/>
        </w:tabs>
        <w:spacing w:before="120" w:after="120" w:line="240" w:lineRule="auto"/>
        <w:ind w:left="426" w:hanging="426"/>
        <w:outlineLvl w:val="0"/>
        <w:rPr>
          <w:rFonts w:ascii="Verdana" w:hAnsi="Verdana" w:cs="Arial"/>
        </w:rPr>
      </w:pPr>
      <w:r w:rsidRPr="00BF3F20">
        <w:rPr>
          <w:rFonts w:ascii="Verdana" w:hAnsi="Verdana" w:cs="Arial"/>
        </w:rPr>
        <w:t xml:space="preserve">Compensatie voor </w:t>
      </w:r>
      <w:r w:rsidR="008A1A4C">
        <w:rPr>
          <w:rFonts w:ascii="Verdana" w:hAnsi="Verdana" w:cs="Arial"/>
        </w:rPr>
        <w:t>correctiebesluiten</w:t>
      </w:r>
      <w:r w:rsidR="003536E0" w:rsidRPr="00BF3F20">
        <w:rPr>
          <w:rFonts w:ascii="Verdana" w:hAnsi="Verdana" w:cs="Arial"/>
        </w:rPr>
        <w:t>.</w:t>
      </w:r>
    </w:p>
    <w:p w:rsidR="00BF3F20" w:rsidRDefault="00BF3F20" w:rsidP="00C829C4">
      <w:pPr>
        <w:pStyle w:val="Lijstalinea"/>
        <w:widowControl/>
        <w:numPr>
          <w:ilvl w:val="0"/>
          <w:numId w:val="10"/>
        </w:numPr>
        <w:tabs>
          <w:tab w:val="left" w:pos="540"/>
          <w:tab w:val="left" w:pos="900"/>
          <w:tab w:val="left" w:pos="1080"/>
        </w:tabs>
        <w:spacing w:before="120" w:after="120" w:line="240" w:lineRule="auto"/>
        <w:ind w:left="426" w:hanging="426"/>
        <w:outlineLvl w:val="0"/>
        <w:rPr>
          <w:rFonts w:ascii="Verdana" w:hAnsi="Verdana" w:cs="Arial"/>
        </w:rPr>
      </w:pPr>
      <w:r w:rsidRPr="00BF3F20">
        <w:rPr>
          <w:rFonts w:ascii="Verdana" w:hAnsi="Verdana" w:cs="Arial"/>
        </w:rPr>
        <w:t xml:space="preserve">Compensatie voor </w:t>
      </w:r>
      <w:r w:rsidR="005613B1">
        <w:rPr>
          <w:rFonts w:ascii="Verdana" w:hAnsi="Verdana" w:cs="Arial"/>
        </w:rPr>
        <w:t>ver</w:t>
      </w:r>
      <w:r w:rsidR="008A1A4C">
        <w:rPr>
          <w:rFonts w:ascii="Verdana" w:hAnsi="Verdana" w:cs="Arial"/>
        </w:rPr>
        <w:t xml:space="preserve">onderstelde </w:t>
      </w:r>
      <w:r>
        <w:rPr>
          <w:rFonts w:ascii="Verdana" w:hAnsi="Verdana" w:cs="Arial"/>
        </w:rPr>
        <w:t xml:space="preserve">immateriële schade. </w:t>
      </w:r>
    </w:p>
    <w:p w:rsidR="00BF3F20" w:rsidRDefault="00BF3F20" w:rsidP="00C829C4">
      <w:pPr>
        <w:pStyle w:val="Lijstalinea"/>
        <w:widowControl/>
        <w:numPr>
          <w:ilvl w:val="0"/>
          <w:numId w:val="10"/>
        </w:numPr>
        <w:tabs>
          <w:tab w:val="left" w:pos="540"/>
          <w:tab w:val="left" w:pos="900"/>
          <w:tab w:val="left" w:pos="1080"/>
        </w:tabs>
        <w:spacing w:before="120" w:after="120" w:line="240" w:lineRule="auto"/>
        <w:ind w:left="426" w:hanging="426"/>
        <w:outlineLvl w:val="0"/>
        <w:rPr>
          <w:rFonts w:ascii="Verdana" w:hAnsi="Verdana" w:cs="Arial"/>
        </w:rPr>
      </w:pPr>
      <w:r>
        <w:rPr>
          <w:rFonts w:ascii="Verdana" w:hAnsi="Verdana" w:cs="Arial"/>
        </w:rPr>
        <w:t xml:space="preserve">Compensatie voor </w:t>
      </w:r>
      <w:r w:rsidR="005613B1">
        <w:rPr>
          <w:rFonts w:ascii="Verdana" w:hAnsi="Verdana" w:cs="Arial"/>
        </w:rPr>
        <w:t>ve</w:t>
      </w:r>
      <w:r w:rsidR="002446F7">
        <w:rPr>
          <w:rFonts w:ascii="Verdana" w:hAnsi="Verdana" w:cs="Arial"/>
        </w:rPr>
        <w:t xml:space="preserve">ronderstelde </w:t>
      </w:r>
      <w:r>
        <w:rPr>
          <w:rFonts w:ascii="Verdana" w:hAnsi="Verdana" w:cs="Arial"/>
        </w:rPr>
        <w:t>materiële schade.</w:t>
      </w:r>
    </w:p>
    <w:p w:rsidR="008D59E6" w:rsidRDefault="000C5889" w:rsidP="00E91BCB">
      <w:pPr>
        <w:pStyle w:val="Lijstalinea"/>
        <w:widowControl/>
        <w:numPr>
          <w:ilvl w:val="0"/>
          <w:numId w:val="10"/>
        </w:numPr>
        <w:tabs>
          <w:tab w:val="left" w:pos="540"/>
          <w:tab w:val="left" w:pos="900"/>
          <w:tab w:val="left" w:pos="1080"/>
        </w:tabs>
        <w:spacing w:before="120" w:after="120" w:line="240" w:lineRule="auto"/>
        <w:ind w:left="426" w:hanging="426"/>
        <w:outlineLvl w:val="0"/>
        <w:rPr>
          <w:rFonts w:ascii="Verdana" w:hAnsi="Verdana" w:cs="Arial"/>
        </w:rPr>
      </w:pPr>
      <w:r>
        <w:rPr>
          <w:rFonts w:ascii="Verdana" w:hAnsi="Verdana" w:cs="Arial"/>
        </w:rPr>
        <w:t>Compensatie voor</w:t>
      </w:r>
      <w:r w:rsidR="008B0771">
        <w:rPr>
          <w:rFonts w:ascii="Verdana" w:hAnsi="Verdana" w:cs="Arial"/>
        </w:rPr>
        <w:t xml:space="preserve"> </w:t>
      </w:r>
      <w:r w:rsidR="002446F7">
        <w:rPr>
          <w:rFonts w:ascii="Verdana" w:hAnsi="Verdana" w:cs="Arial"/>
        </w:rPr>
        <w:t>invorderingskosten</w:t>
      </w:r>
      <w:r w:rsidR="008B0771">
        <w:rPr>
          <w:rFonts w:ascii="Verdana" w:hAnsi="Verdana" w:cs="Arial"/>
        </w:rPr>
        <w:t>.</w:t>
      </w:r>
    </w:p>
    <w:p w:rsidR="00720045" w:rsidRPr="00E91BCB" w:rsidDel="00BF3F20" w:rsidRDefault="00720045" w:rsidP="00E91BCB">
      <w:pPr>
        <w:pStyle w:val="Lijstalinea"/>
        <w:widowControl/>
        <w:numPr>
          <w:ilvl w:val="0"/>
          <w:numId w:val="10"/>
        </w:numPr>
        <w:tabs>
          <w:tab w:val="left" w:pos="540"/>
          <w:tab w:val="left" w:pos="900"/>
          <w:tab w:val="left" w:pos="1080"/>
        </w:tabs>
        <w:spacing w:before="120" w:after="120" w:line="240" w:lineRule="auto"/>
        <w:ind w:left="426" w:hanging="426"/>
        <w:outlineLvl w:val="0"/>
        <w:rPr>
          <w:rFonts w:ascii="Verdana" w:hAnsi="Verdana" w:cs="Arial"/>
        </w:rPr>
      </w:pPr>
      <w:r>
        <w:rPr>
          <w:rFonts w:ascii="Verdana" w:hAnsi="Verdana" w:cs="Arial"/>
        </w:rPr>
        <w:t>Compensatie voor proceskosten.</w:t>
      </w:r>
    </w:p>
    <w:p w:rsidR="00BB7CA9" w:rsidRDefault="00194B78" w:rsidP="0018680A">
      <w:pPr>
        <w:widowControl/>
        <w:tabs>
          <w:tab w:val="left" w:pos="540"/>
          <w:tab w:val="left" w:pos="900"/>
          <w:tab w:val="left" w:pos="1080"/>
        </w:tabs>
        <w:spacing w:before="120" w:after="120" w:line="240" w:lineRule="auto"/>
        <w:outlineLvl w:val="0"/>
        <w:rPr>
          <w:rFonts w:ascii="Verdana" w:hAnsi="Verdana" w:cs="Arial"/>
        </w:rPr>
      </w:pPr>
      <w:r w:rsidRPr="00AE64DB">
        <w:rPr>
          <w:rFonts w:ascii="Verdana" w:hAnsi="Verdana" w:cs="Arial"/>
        </w:rPr>
        <w:t xml:space="preserve">De hoogte van de </w:t>
      </w:r>
      <w:r w:rsidR="00BF3F20" w:rsidRPr="00AE64DB">
        <w:rPr>
          <w:rFonts w:ascii="Verdana" w:hAnsi="Verdana" w:cs="Arial"/>
        </w:rPr>
        <w:t xml:space="preserve">compensatie </w:t>
      </w:r>
      <w:r w:rsidRPr="00AE64DB">
        <w:rPr>
          <w:rFonts w:ascii="Verdana" w:hAnsi="Verdana" w:cs="Arial"/>
        </w:rPr>
        <w:t>is de optelsom van de bedragen uit</w:t>
      </w:r>
      <w:r w:rsidR="0071209B">
        <w:rPr>
          <w:rFonts w:ascii="Verdana" w:hAnsi="Verdana" w:cs="Arial"/>
        </w:rPr>
        <w:t xml:space="preserve"> de</w:t>
      </w:r>
      <w:r w:rsidRPr="00AE64DB">
        <w:rPr>
          <w:rFonts w:ascii="Verdana" w:hAnsi="Verdana" w:cs="Arial"/>
        </w:rPr>
        <w:t xml:space="preserve"> verschillende </w:t>
      </w:r>
      <w:r w:rsidR="00BF3F20" w:rsidRPr="00AE64DB">
        <w:rPr>
          <w:rFonts w:ascii="Verdana" w:hAnsi="Verdana" w:cs="Arial"/>
        </w:rPr>
        <w:t>elementen</w:t>
      </w:r>
      <w:r w:rsidR="00C34BBF">
        <w:rPr>
          <w:rFonts w:ascii="Verdana" w:hAnsi="Verdana" w:cs="Arial"/>
        </w:rPr>
        <w:t>. Het bedrag van de compensatie kan in bepaalde situaties worden verminderd</w:t>
      </w:r>
      <w:r w:rsidR="00AE64DB">
        <w:rPr>
          <w:rFonts w:ascii="Verdana" w:hAnsi="Verdana" w:cs="Arial"/>
        </w:rPr>
        <w:t xml:space="preserve"> (zie onderdeel 5)</w:t>
      </w:r>
      <w:r>
        <w:rPr>
          <w:rFonts w:ascii="Verdana" w:hAnsi="Verdana" w:cs="Arial"/>
        </w:rPr>
        <w:t>.</w:t>
      </w:r>
      <w:r w:rsidR="00E91BCB">
        <w:rPr>
          <w:rFonts w:ascii="Verdana" w:hAnsi="Verdana" w:cs="Arial"/>
        </w:rPr>
        <w:t xml:space="preserve"> </w:t>
      </w:r>
    </w:p>
    <w:p w:rsidR="00326FE5" w:rsidRDefault="00BF3F20" w:rsidP="0018680A">
      <w:pPr>
        <w:widowControl/>
        <w:tabs>
          <w:tab w:val="left" w:pos="540"/>
          <w:tab w:val="left" w:pos="900"/>
          <w:tab w:val="left" w:pos="1080"/>
        </w:tabs>
        <w:spacing w:before="120" w:after="120" w:line="240" w:lineRule="auto"/>
        <w:outlineLvl w:val="0"/>
        <w:rPr>
          <w:rFonts w:ascii="Verdana" w:hAnsi="Verdana" w:cs="Arial"/>
          <w:i/>
        </w:rPr>
      </w:pPr>
      <w:r>
        <w:rPr>
          <w:rFonts w:ascii="Verdana" w:hAnsi="Verdana" w:cs="Arial"/>
          <w:i/>
        </w:rPr>
        <w:t>Ad 1.</w:t>
      </w:r>
      <w:r w:rsidR="00BB7CA9">
        <w:rPr>
          <w:rFonts w:ascii="Verdana" w:hAnsi="Verdana" w:cs="Arial"/>
          <w:i/>
        </w:rPr>
        <w:t xml:space="preserve"> </w:t>
      </w:r>
      <w:r w:rsidR="00E91BCB">
        <w:rPr>
          <w:rFonts w:ascii="Verdana" w:hAnsi="Verdana" w:cs="Arial"/>
          <w:i/>
        </w:rPr>
        <w:t>Compensatie voor correctiebesluiten</w:t>
      </w:r>
    </w:p>
    <w:p w:rsidR="001849F3" w:rsidRDefault="008A1A4C"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compensatie is het </w:t>
      </w:r>
      <w:r w:rsidR="00720045">
        <w:rPr>
          <w:rFonts w:ascii="Verdana" w:hAnsi="Verdana" w:cs="Arial"/>
        </w:rPr>
        <w:t>totaal</w:t>
      </w:r>
      <w:r>
        <w:rPr>
          <w:rFonts w:ascii="Verdana" w:hAnsi="Verdana" w:cs="Arial"/>
        </w:rPr>
        <w:t xml:space="preserve">bedrag waarmee de aanspraak van de ouder op kinderopvangtoeslag voor de </w:t>
      </w:r>
      <w:r w:rsidR="00F8736D">
        <w:rPr>
          <w:rFonts w:ascii="Verdana" w:hAnsi="Verdana" w:cs="Arial"/>
        </w:rPr>
        <w:t>berekenings</w:t>
      </w:r>
      <w:r>
        <w:rPr>
          <w:rFonts w:ascii="Verdana" w:hAnsi="Verdana" w:cs="Arial"/>
        </w:rPr>
        <w:t xml:space="preserve">jaren 2012, 2013 en/of 2014 </w:t>
      </w:r>
      <w:r w:rsidR="000C5889">
        <w:rPr>
          <w:rFonts w:ascii="Verdana" w:hAnsi="Verdana" w:cs="Arial"/>
        </w:rPr>
        <w:t xml:space="preserve">is stopgezet of </w:t>
      </w:r>
      <w:r>
        <w:rPr>
          <w:rFonts w:ascii="Verdana" w:hAnsi="Verdana" w:cs="Arial"/>
        </w:rPr>
        <w:t xml:space="preserve">neerwaarts </w:t>
      </w:r>
      <w:r w:rsidR="00E91BCB">
        <w:rPr>
          <w:rFonts w:ascii="Verdana" w:hAnsi="Verdana" w:cs="Arial"/>
        </w:rPr>
        <w:t>is</w:t>
      </w:r>
      <w:r>
        <w:rPr>
          <w:rFonts w:ascii="Verdana" w:hAnsi="Verdana" w:cs="Arial"/>
        </w:rPr>
        <w:t xml:space="preserve"> gecorrigeerd na onderzoek in het kader van CAF 11. </w:t>
      </w:r>
    </w:p>
    <w:p w:rsidR="008C3953" w:rsidRDefault="008C3953"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Het gaat bij dit element niet om het alsnog uitkeren van de kinderopvangtoeslag voor deze jaren, maar om compensatie voor </w:t>
      </w:r>
      <w:r w:rsidR="00BA1559">
        <w:rPr>
          <w:rFonts w:ascii="Verdana" w:hAnsi="Verdana" w:cs="Arial"/>
        </w:rPr>
        <w:t>correctiebesluiten</w:t>
      </w:r>
      <w:r>
        <w:rPr>
          <w:rFonts w:ascii="Verdana" w:hAnsi="Verdana" w:cs="Arial"/>
        </w:rPr>
        <w:t>.</w:t>
      </w:r>
    </w:p>
    <w:p w:rsidR="00194B78" w:rsidRDefault="00BF3F20"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i/>
        </w:rPr>
        <w:t>Ad 2.</w:t>
      </w:r>
      <w:r w:rsidR="005613B1">
        <w:rPr>
          <w:rFonts w:ascii="Verdana" w:hAnsi="Verdana" w:cs="Arial"/>
          <w:i/>
        </w:rPr>
        <w:t xml:space="preserve"> Compensatie voor ve</w:t>
      </w:r>
      <w:r w:rsidR="00E91BCB">
        <w:rPr>
          <w:rFonts w:ascii="Verdana" w:hAnsi="Verdana" w:cs="Arial"/>
          <w:i/>
        </w:rPr>
        <w:t>ronderstelde immateriële schade</w:t>
      </w:r>
      <w:r w:rsidR="00720045">
        <w:rPr>
          <w:rFonts w:ascii="Verdana" w:hAnsi="Verdana" w:cs="Arial"/>
          <w:i/>
        </w:rPr>
        <w:t xml:space="preserve"> </w:t>
      </w:r>
    </w:p>
    <w:p w:rsidR="002446F7" w:rsidRDefault="008A1A4C"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Deze compensatie </w:t>
      </w:r>
      <w:r w:rsidR="002446F7">
        <w:rPr>
          <w:rFonts w:ascii="Verdana" w:hAnsi="Verdana" w:cs="Arial"/>
        </w:rPr>
        <w:t xml:space="preserve">betreft een vergoeding voor </w:t>
      </w:r>
      <w:r w:rsidR="005613B1">
        <w:rPr>
          <w:rFonts w:ascii="Verdana" w:hAnsi="Verdana" w:cs="Arial"/>
        </w:rPr>
        <w:t>ve</w:t>
      </w:r>
      <w:r w:rsidR="002446F7">
        <w:rPr>
          <w:rFonts w:ascii="Verdana" w:hAnsi="Verdana" w:cs="Arial"/>
        </w:rPr>
        <w:t xml:space="preserve">ronderstelde stress, ongemak en onzekerheid waarmee de ouder is geconfronteerd in de </w:t>
      </w:r>
      <w:r w:rsidR="005613B1">
        <w:rPr>
          <w:rFonts w:ascii="Verdana" w:hAnsi="Verdana" w:cs="Arial"/>
        </w:rPr>
        <w:t>(</w:t>
      </w:r>
      <w:r w:rsidR="002446F7">
        <w:rPr>
          <w:rFonts w:ascii="Verdana" w:hAnsi="Verdana" w:cs="Arial"/>
        </w:rPr>
        <w:t>lange</w:t>
      </w:r>
      <w:r w:rsidR="005613B1">
        <w:rPr>
          <w:rFonts w:ascii="Verdana" w:hAnsi="Verdana" w:cs="Arial"/>
        </w:rPr>
        <w:t>)</w:t>
      </w:r>
      <w:r w:rsidR="002446F7">
        <w:rPr>
          <w:rFonts w:ascii="Verdana" w:hAnsi="Verdana" w:cs="Arial"/>
        </w:rPr>
        <w:t xml:space="preserve"> tijd die is verstreken tussen het eerste </w:t>
      </w:r>
      <w:r w:rsidR="00EE681D">
        <w:rPr>
          <w:rFonts w:ascii="Verdana" w:hAnsi="Verdana" w:cs="Arial"/>
        </w:rPr>
        <w:t xml:space="preserve">neerwaartse </w:t>
      </w:r>
      <w:r w:rsidR="002446F7">
        <w:rPr>
          <w:rFonts w:ascii="Verdana" w:hAnsi="Verdana" w:cs="Arial"/>
        </w:rPr>
        <w:t xml:space="preserve">correctiebesluit </w:t>
      </w:r>
      <w:r w:rsidR="005F6B38">
        <w:rPr>
          <w:rFonts w:ascii="Verdana" w:hAnsi="Verdana" w:cs="Arial"/>
        </w:rPr>
        <w:t xml:space="preserve">in het kader van het CAF 11-onderzoek </w:t>
      </w:r>
      <w:r w:rsidR="002446F7">
        <w:rPr>
          <w:rFonts w:ascii="Verdana" w:hAnsi="Verdana" w:cs="Arial"/>
        </w:rPr>
        <w:t xml:space="preserve">en het </w:t>
      </w:r>
      <w:r w:rsidR="005F6B38">
        <w:rPr>
          <w:rFonts w:ascii="Verdana" w:hAnsi="Verdana" w:cs="Arial"/>
        </w:rPr>
        <w:t>moment</w:t>
      </w:r>
      <w:r w:rsidR="005613B1">
        <w:rPr>
          <w:rFonts w:ascii="Verdana" w:hAnsi="Verdana" w:cs="Arial"/>
        </w:rPr>
        <w:t xml:space="preserve"> waarop de aanspraak op </w:t>
      </w:r>
      <w:r w:rsidR="00392AF7">
        <w:rPr>
          <w:rFonts w:ascii="Verdana" w:hAnsi="Verdana" w:cs="Arial"/>
        </w:rPr>
        <w:t xml:space="preserve">de </w:t>
      </w:r>
      <w:r w:rsidR="005613B1">
        <w:rPr>
          <w:rFonts w:ascii="Verdana" w:hAnsi="Verdana" w:cs="Arial"/>
        </w:rPr>
        <w:t>kindero</w:t>
      </w:r>
      <w:r w:rsidR="002446F7">
        <w:rPr>
          <w:rFonts w:ascii="Verdana" w:hAnsi="Verdana" w:cs="Arial"/>
        </w:rPr>
        <w:t>pvangtoeslag alsnog volledig is toegekend.</w:t>
      </w:r>
    </w:p>
    <w:p w:rsidR="00B4539B" w:rsidRDefault="002446F7" w:rsidP="00EE681D">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compensatie </w:t>
      </w:r>
      <w:r w:rsidR="008A1A4C">
        <w:rPr>
          <w:rFonts w:ascii="Verdana" w:hAnsi="Verdana" w:cs="Arial"/>
        </w:rPr>
        <w:t xml:space="preserve">bedraagt </w:t>
      </w:r>
      <w:r w:rsidR="00EE681D">
        <w:rPr>
          <w:rFonts w:ascii="Verdana" w:hAnsi="Verdana" w:cs="Arial"/>
        </w:rPr>
        <w:t xml:space="preserve">per </w:t>
      </w:r>
      <w:r w:rsidR="00FA58BD">
        <w:rPr>
          <w:rFonts w:ascii="Verdana" w:hAnsi="Verdana" w:cs="Arial"/>
        </w:rPr>
        <w:t>aanvrager</w:t>
      </w:r>
      <w:r w:rsidR="00EE681D">
        <w:rPr>
          <w:rFonts w:ascii="Verdana" w:hAnsi="Verdana" w:cs="Arial"/>
        </w:rPr>
        <w:t xml:space="preserve"> </w:t>
      </w:r>
      <w:r w:rsidR="008A1A4C">
        <w:rPr>
          <w:rFonts w:ascii="Verdana" w:hAnsi="Verdana" w:cs="Arial"/>
        </w:rPr>
        <w:t>€ 500 voor ieder half</w:t>
      </w:r>
      <w:r w:rsidR="005613B1">
        <w:rPr>
          <w:rFonts w:ascii="Verdana" w:hAnsi="Verdana" w:cs="Arial"/>
        </w:rPr>
        <w:t xml:space="preserve"> </w:t>
      </w:r>
      <w:r w:rsidR="008A1A4C">
        <w:rPr>
          <w:rFonts w:ascii="Verdana" w:hAnsi="Verdana" w:cs="Arial"/>
        </w:rPr>
        <w:t xml:space="preserve">jaar dat is verstreken sinds het eerste neerwaartse correctiebesluit en het </w:t>
      </w:r>
      <w:r w:rsidR="00B4539B">
        <w:rPr>
          <w:rFonts w:ascii="Verdana" w:hAnsi="Verdana" w:cs="Arial"/>
        </w:rPr>
        <w:t xml:space="preserve">laatste van de hierna genoemde </w:t>
      </w:r>
      <w:r w:rsidR="008A1A4C">
        <w:rPr>
          <w:rFonts w:ascii="Verdana" w:hAnsi="Verdana" w:cs="Arial"/>
        </w:rPr>
        <w:t>tijdstip</w:t>
      </w:r>
      <w:r w:rsidR="00B4539B">
        <w:rPr>
          <w:rFonts w:ascii="Verdana" w:hAnsi="Verdana" w:cs="Arial"/>
        </w:rPr>
        <w:t>pen:</w:t>
      </w:r>
    </w:p>
    <w:p w:rsidR="00B4539B" w:rsidRDefault="00B4539B" w:rsidP="00B4539B">
      <w:pPr>
        <w:pStyle w:val="Lijstalinea"/>
        <w:widowControl/>
        <w:numPr>
          <w:ilvl w:val="0"/>
          <w:numId w:val="16"/>
        </w:numPr>
        <w:tabs>
          <w:tab w:val="left" w:pos="540"/>
          <w:tab w:val="left" w:pos="900"/>
          <w:tab w:val="left" w:pos="1080"/>
        </w:tabs>
        <w:spacing w:before="120" w:after="120" w:line="240" w:lineRule="auto"/>
        <w:outlineLvl w:val="0"/>
        <w:rPr>
          <w:rFonts w:ascii="Verdana" w:hAnsi="Verdana" w:cs="Arial"/>
        </w:rPr>
      </w:pPr>
      <w:r>
        <w:rPr>
          <w:rFonts w:ascii="Verdana" w:hAnsi="Verdana" w:cs="Arial"/>
        </w:rPr>
        <w:lastRenderedPageBreak/>
        <w:t xml:space="preserve">Het tijdstip waarop </w:t>
      </w:r>
      <w:r w:rsidR="008A1A4C" w:rsidRPr="00B4539B">
        <w:rPr>
          <w:rFonts w:ascii="Verdana" w:hAnsi="Verdana" w:cs="Arial"/>
        </w:rPr>
        <w:t>de aanspraak op de kinde</w:t>
      </w:r>
      <w:r w:rsidR="005613B1" w:rsidRPr="00B4539B">
        <w:rPr>
          <w:rFonts w:ascii="Verdana" w:hAnsi="Verdana" w:cs="Arial"/>
        </w:rPr>
        <w:t>ropvangtoeslag</w:t>
      </w:r>
      <w:r w:rsidR="008A1A4C" w:rsidRPr="00B4539B">
        <w:rPr>
          <w:rFonts w:ascii="Verdana" w:hAnsi="Verdana" w:cs="Arial"/>
        </w:rPr>
        <w:t xml:space="preserve"> voor</w:t>
      </w:r>
      <w:r w:rsidR="005613B1" w:rsidRPr="00B4539B">
        <w:rPr>
          <w:rFonts w:ascii="Verdana" w:hAnsi="Verdana" w:cs="Arial"/>
        </w:rPr>
        <w:t xml:space="preserve"> de </w:t>
      </w:r>
      <w:r w:rsidR="00300033">
        <w:rPr>
          <w:rFonts w:ascii="Verdana" w:hAnsi="Verdana" w:cs="Arial"/>
        </w:rPr>
        <w:t>berekenings</w:t>
      </w:r>
      <w:r w:rsidR="005613B1" w:rsidRPr="00B4539B">
        <w:rPr>
          <w:rFonts w:ascii="Verdana" w:hAnsi="Verdana" w:cs="Arial"/>
        </w:rPr>
        <w:t>jaren 2012, 2013 en/of 2014</w:t>
      </w:r>
      <w:r w:rsidR="002446F7" w:rsidRPr="00B4539B">
        <w:rPr>
          <w:rFonts w:ascii="Verdana" w:hAnsi="Verdana" w:cs="Arial"/>
        </w:rPr>
        <w:t xml:space="preserve"> volledig </w:t>
      </w:r>
      <w:r>
        <w:rPr>
          <w:rFonts w:ascii="Verdana" w:hAnsi="Verdana" w:cs="Arial"/>
        </w:rPr>
        <w:t>is</w:t>
      </w:r>
      <w:r w:rsidR="002446F7" w:rsidRPr="00B4539B">
        <w:rPr>
          <w:rFonts w:ascii="Verdana" w:hAnsi="Verdana" w:cs="Arial"/>
        </w:rPr>
        <w:t xml:space="preserve"> erkend (eventueel na bezwaar, (hoger) beroep of via een herziening)</w:t>
      </w:r>
      <w:r>
        <w:rPr>
          <w:rFonts w:ascii="Verdana" w:hAnsi="Verdana" w:cs="Arial"/>
        </w:rPr>
        <w:t>.</w:t>
      </w:r>
    </w:p>
    <w:p w:rsidR="00B4539B" w:rsidRDefault="00392AF7" w:rsidP="00B4539B">
      <w:pPr>
        <w:pStyle w:val="Lijstalinea"/>
        <w:widowControl/>
        <w:numPr>
          <w:ilvl w:val="0"/>
          <w:numId w:val="16"/>
        </w:numPr>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dagtekening van </w:t>
      </w:r>
      <w:r w:rsidR="005613B1" w:rsidRPr="00B4539B">
        <w:rPr>
          <w:rFonts w:ascii="Verdana" w:hAnsi="Verdana" w:cs="Arial"/>
        </w:rPr>
        <w:t>de beschikking met betrekking tot de compensatie</w:t>
      </w:r>
      <w:r w:rsidR="002446F7" w:rsidRPr="00B4539B">
        <w:rPr>
          <w:rFonts w:ascii="Verdana" w:hAnsi="Verdana" w:cs="Arial"/>
        </w:rPr>
        <w:t xml:space="preserve">. </w:t>
      </w:r>
    </w:p>
    <w:p w:rsidR="00392AF7" w:rsidRDefault="00392AF7" w:rsidP="00B4539B">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bovengenoemde periode wordt naar boven afgerond op halve jaren. </w:t>
      </w:r>
    </w:p>
    <w:p w:rsidR="002446F7" w:rsidRDefault="005613B1" w:rsidP="00B4539B">
      <w:pPr>
        <w:widowControl/>
        <w:tabs>
          <w:tab w:val="left" w:pos="540"/>
          <w:tab w:val="left" w:pos="900"/>
          <w:tab w:val="left" w:pos="1080"/>
        </w:tabs>
        <w:spacing w:before="120" w:after="120" w:line="240" w:lineRule="auto"/>
        <w:outlineLvl w:val="0"/>
        <w:rPr>
          <w:rFonts w:ascii="Verdana" w:hAnsi="Verdana" w:cs="Arial"/>
        </w:rPr>
      </w:pPr>
      <w:r w:rsidRPr="00B4539B">
        <w:rPr>
          <w:rFonts w:ascii="Verdana" w:hAnsi="Verdana" w:cs="Arial"/>
        </w:rPr>
        <w:t>De compensatie voor veronder</w:t>
      </w:r>
      <w:r w:rsidR="002446F7" w:rsidRPr="00B4539B">
        <w:rPr>
          <w:rFonts w:ascii="Verdana" w:hAnsi="Verdana" w:cs="Arial"/>
        </w:rPr>
        <w:t>stelde immateriële schade kan niet meer bedragen dan het bedrag aan compensatie voor correctiebes</w:t>
      </w:r>
      <w:r w:rsidRPr="00B4539B">
        <w:rPr>
          <w:rFonts w:ascii="Verdana" w:hAnsi="Verdana" w:cs="Arial"/>
        </w:rPr>
        <w:t>l</w:t>
      </w:r>
      <w:r w:rsidR="002446F7" w:rsidRPr="00B4539B">
        <w:rPr>
          <w:rFonts w:ascii="Verdana" w:hAnsi="Verdana" w:cs="Arial"/>
        </w:rPr>
        <w:t>uiten.</w:t>
      </w:r>
      <w:r w:rsidR="00032BB9">
        <w:rPr>
          <w:rFonts w:ascii="Verdana" w:hAnsi="Verdana" w:cs="Arial"/>
        </w:rPr>
        <w:t xml:space="preserve"> </w:t>
      </w:r>
    </w:p>
    <w:p w:rsidR="00032BB9" w:rsidRPr="00B4539B" w:rsidRDefault="00032BB9" w:rsidP="00B4539B">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vergoeding geldt per aanvrager en niet per gecorrigeerd </w:t>
      </w:r>
      <w:r w:rsidR="008C3953">
        <w:rPr>
          <w:rFonts w:ascii="Verdana" w:hAnsi="Verdana" w:cs="Arial"/>
        </w:rPr>
        <w:t>berekenings</w:t>
      </w:r>
      <w:r>
        <w:rPr>
          <w:rFonts w:ascii="Verdana" w:hAnsi="Verdana" w:cs="Arial"/>
        </w:rPr>
        <w:t>jaar.</w:t>
      </w:r>
    </w:p>
    <w:p w:rsidR="00194B78" w:rsidRDefault="00841ACD" w:rsidP="0018680A">
      <w:pPr>
        <w:widowControl/>
        <w:tabs>
          <w:tab w:val="left" w:pos="540"/>
          <w:tab w:val="left" w:pos="900"/>
          <w:tab w:val="left" w:pos="1080"/>
        </w:tabs>
        <w:spacing w:before="120" w:after="120" w:line="240" w:lineRule="auto"/>
        <w:outlineLvl w:val="0"/>
        <w:rPr>
          <w:rFonts w:ascii="Verdana" w:hAnsi="Verdana" w:cs="Arial"/>
          <w:i/>
        </w:rPr>
      </w:pPr>
      <w:r>
        <w:rPr>
          <w:rFonts w:ascii="Verdana" w:hAnsi="Verdana" w:cs="Arial"/>
          <w:i/>
        </w:rPr>
        <w:t>Ad 3.</w:t>
      </w:r>
      <w:r w:rsidR="005613B1">
        <w:rPr>
          <w:rFonts w:ascii="Verdana" w:hAnsi="Verdana" w:cs="Arial"/>
          <w:i/>
        </w:rPr>
        <w:t xml:space="preserve"> Compensatie voor veronderstelde materiële schade</w:t>
      </w:r>
    </w:p>
    <w:p w:rsidR="002446F7" w:rsidRDefault="002446F7"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Deze compensatie </w:t>
      </w:r>
      <w:r w:rsidR="005613B1">
        <w:rPr>
          <w:rFonts w:ascii="Verdana" w:hAnsi="Verdana" w:cs="Arial"/>
        </w:rPr>
        <w:t>betreft een vergoeding voor ver</w:t>
      </w:r>
      <w:r>
        <w:rPr>
          <w:rFonts w:ascii="Verdana" w:hAnsi="Verdana" w:cs="Arial"/>
        </w:rPr>
        <w:t xml:space="preserve">onderstelde materiële schade die is ontstaan door de werkwijze van de Belastingdienst/Toeslagen in het kader van CAF 11. </w:t>
      </w:r>
    </w:p>
    <w:p w:rsidR="002446F7" w:rsidRDefault="002446F7"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compensatie bedraagt 25% van het bedrag </w:t>
      </w:r>
      <w:r w:rsidR="00392AF7">
        <w:rPr>
          <w:rFonts w:ascii="Verdana" w:hAnsi="Verdana" w:cs="Arial"/>
        </w:rPr>
        <w:t xml:space="preserve">van de </w:t>
      </w:r>
      <w:r>
        <w:rPr>
          <w:rFonts w:ascii="Verdana" w:hAnsi="Verdana" w:cs="Arial"/>
        </w:rPr>
        <w:t xml:space="preserve">compensatie voor correctiebesluiten. </w:t>
      </w:r>
    </w:p>
    <w:p w:rsidR="00841ACD" w:rsidRPr="00841ACD" w:rsidRDefault="00841ACD" w:rsidP="0018680A">
      <w:pPr>
        <w:widowControl/>
        <w:tabs>
          <w:tab w:val="left" w:pos="540"/>
          <w:tab w:val="left" w:pos="900"/>
          <w:tab w:val="left" w:pos="1080"/>
        </w:tabs>
        <w:spacing w:before="120" w:after="120" w:line="240" w:lineRule="auto"/>
        <w:outlineLvl w:val="0"/>
        <w:rPr>
          <w:rFonts w:ascii="Verdana" w:hAnsi="Verdana" w:cs="Arial"/>
          <w:i/>
        </w:rPr>
      </w:pPr>
      <w:r w:rsidRPr="00841ACD">
        <w:rPr>
          <w:rFonts w:ascii="Verdana" w:hAnsi="Verdana" w:cs="Arial"/>
          <w:i/>
        </w:rPr>
        <w:t>Ad 4.</w:t>
      </w:r>
      <w:r w:rsidR="005613B1">
        <w:rPr>
          <w:rFonts w:ascii="Verdana" w:hAnsi="Verdana" w:cs="Arial"/>
          <w:i/>
        </w:rPr>
        <w:t xml:space="preserve"> </w:t>
      </w:r>
      <w:r w:rsidR="00EE681D">
        <w:rPr>
          <w:rFonts w:ascii="Verdana" w:hAnsi="Verdana" w:cs="Arial"/>
          <w:i/>
        </w:rPr>
        <w:t>Compensatie voor</w:t>
      </w:r>
      <w:r w:rsidR="005613B1">
        <w:rPr>
          <w:rFonts w:ascii="Verdana" w:hAnsi="Verdana" w:cs="Arial"/>
          <w:i/>
        </w:rPr>
        <w:t xml:space="preserve"> invorderingskosten</w:t>
      </w:r>
    </w:p>
    <w:p w:rsidR="002446F7" w:rsidRDefault="002446F7"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Deze compensatie betreft een vergoeding</w:t>
      </w:r>
      <w:r w:rsidR="00EE681D">
        <w:rPr>
          <w:rFonts w:ascii="Verdana" w:hAnsi="Verdana" w:cs="Arial"/>
        </w:rPr>
        <w:t xml:space="preserve"> van de kosten met betrekking tot invorderingsactiviteiten </w:t>
      </w:r>
      <w:r w:rsidR="00B4539B">
        <w:rPr>
          <w:rFonts w:ascii="Verdana" w:hAnsi="Verdana" w:cs="Arial"/>
        </w:rPr>
        <w:t xml:space="preserve">van de na </w:t>
      </w:r>
      <w:r w:rsidR="00CB057C">
        <w:rPr>
          <w:rFonts w:ascii="Verdana" w:hAnsi="Verdana" w:cs="Arial"/>
        </w:rPr>
        <w:t xml:space="preserve">het </w:t>
      </w:r>
      <w:r w:rsidR="00B4539B">
        <w:rPr>
          <w:rFonts w:ascii="Verdana" w:hAnsi="Verdana" w:cs="Arial"/>
        </w:rPr>
        <w:t>CAF-onderzoek teruggevorderde k</w:t>
      </w:r>
      <w:r w:rsidR="00EE681D">
        <w:rPr>
          <w:rFonts w:ascii="Verdana" w:hAnsi="Verdana" w:cs="Arial"/>
        </w:rPr>
        <w:t xml:space="preserve">inderopvangtoeslag over de </w:t>
      </w:r>
      <w:r w:rsidR="00300033">
        <w:rPr>
          <w:rFonts w:ascii="Verdana" w:hAnsi="Verdana" w:cs="Arial"/>
        </w:rPr>
        <w:t>berekenings</w:t>
      </w:r>
      <w:r w:rsidR="00EE681D">
        <w:rPr>
          <w:rFonts w:ascii="Verdana" w:hAnsi="Verdana" w:cs="Arial"/>
        </w:rPr>
        <w:t xml:space="preserve">jaren 2012, 2013 en/of 2014, die </w:t>
      </w:r>
      <w:r w:rsidR="00300033">
        <w:rPr>
          <w:rFonts w:ascii="Verdana" w:hAnsi="Verdana" w:cs="Arial"/>
        </w:rPr>
        <w:t xml:space="preserve">de </w:t>
      </w:r>
      <w:r w:rsidR="00EE681D">
        <w:rPr>
          <w:rFonts w:ascii="Verdana" w:hAnsi="Verdana" w:cs="Arial"/>
        </w:rPr>
        <w:t>Belastingdienst/Toeslagen aan de ouder in rekening heeft gebracht</w:t>
      </w:r>
      <w:r>
        <w:rPr>
          <w:rFonts w:ascii="Verdana" w:hAnsi="Verdana" w:cs="Arial"/>
        </w:rPr>
        <w:t xml:space="preserve">. </w:t>
      </w:r>
    </w:p>
    <w:p w:rsidR="008F7574" w:rsidRDefault="00B4539B"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Hierbij gaat het bijvoorbeeld om</w:t>
      </w:r>
      <w:r w:rsidR="002446F7">
        <w:rPr>
          <w:rFonts w:ascii="Verdana" w:hAnsi="Verdana" w:cs="Arial"/>
        </w:rPr>
        <w:t xml:space="preserve"> kosten die</w:t>
      </w:r>
      <w:r>
        <w:rPr>
          <w:rFonts w:ascii="Verdana" w:hAnsi="Verdana" w:cs="Arial"/>
        </w:rPr>
        <w:t xml:space="preserve"> zijn gemaakt voor aanmaningen en </w:t>
      </w:r>
      <w:r w:rsidR="002446F7">
        <w:rPr>
          <w:rFonts w:ascii="Verdana" w:hAnsi="Verdana" w:cs="Arial"/>
        </w:rPr>
        <w:t>dwangbevelen</w:t>
      </w:r>
      <w:r w:rsidR="00EE681D">
        <w:rPr>
          <w:rFonts w:ascii="Verdana" w:hAnsi="Verdana" w:cs="Arial"/>
        </w:rPr>
        <w:t xml:space="preserve"> en</w:t>
      </w:r>
      <w:r w:rsidR="002446F7">
        <w:rPr>
          <w:rFonts w:ascii="Verdana" w:hAnsi="Verdana" w:cs="Arial"/>
        </w:rPr>
        <w:t xml:space="preserve"> de invorderingsrente </w:t>
      </w:r>
      <w:r w:rsidR="00EE681D">
        <w:rPr>
          <w:rFonts w:ascii="Verdana" w:hAnsi="Verdana" w:cs="Arial"/>
        </w:rPr>
        <w:t xml:space="preserve">die is </w:t>
      </w:r>
      <w:r w:rsidR="005F6B38">
        <w:rPr>
          <w:rFonts w:ascii="Verdana" w:hAnsi="Verdana" w:cs="Arial"/>
        </w:rPr>
        <w:t>gerekend</w:t>
      </w:r>
      <w:r w:rsidR="002446F7">
        <w:rPr>
          <w:rFonts w:ascii="Verdana" w:hAnsi="Verdana" w:cs="Arial"/>
        </w:rPr>
        <w:t xml:space="preserve">. </w:t>
      </w:r>
    </w:p>
    <w:p w:rsidR="008F7574" w:rsidRDefault="00300033"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Als</w:t>
      </w:r>
      <w:r w:rsidR="008F7574">
        <w:rPr>
          <w:rFonts w:ascii="Verdana" w:hAnsi="Verdana" w:cs="Arial"/>
        </w:rPr>
        <w:t xml:space="preserve"> dwanginvordering aantoonbaar heeft geleid tot gedwongen verkoop van bezittingen van de ouder, kan de ouder een aanvraag tot aanvullende compensatie indienen bij de Belastingdienst/Toeslagen (zie onderdeel </w:t>
      </w:r>
      <w:r w:rsidR="00AE64DB">
        <w:rPr>
          <w:rFonts w:ascii="Verdana" w:hAnsi="Verdana" w:cs="Arial"/>
        </w:rPr>
        <w:t>4</w:t>
      </w:r>
      <w:r w:rsidR="008F7574">
        <w:rPr>
          <w:rFonts w:ascii="Verdana" w:hAnsi="Verdana" w:cs="Arial"/>
        </w:rPr>
        <w:t>).</w:t>
      </w:r>
    </w:p>
    <w:p w:rsidR="00B4539B" w:rsidRPr="008F7574" w:rsidRDefault="00B4539B" w:rsidP="00B4539B">
      <w:pPr>
        <w:widowControl/>
        <w:tabs>
          <w:tab w:val="left" w:pos="540"/>
          <w:tab w:val="left" w:pos="900"/>
          <w:tab w:val="left" w:pos="1080"/>
        </w:tabs>
        <w:spacing w:before="120" w:after="120" w:line="240" w:lineRule="auto"/>
        <w:outlineLvl w:val="0"/>
        <w:rPr>
          <w:rFonts w:ascii="Verdana" w:hAnsi="Verdana" w:cs="Arial"/>
          <w:b/>
          <w:bCs/>
          <w:i/>
        </w:rPr>
      </w:pPr>
      <w:r>
        <w:rPr>
          <w:rFonts w:ascii="Verdana" w:hAnsi="Verdana" w:cs="Arial"/>
          <w:i/>
        </w:rPr>
        <w:t>Ad 5. Compensatie voor proceskosten</w:t>
      </w:r>
    </w:p>
    <w:p w:rsidR="00B4539B" w:rsidRDefault="00B4539B" w:rsidP="00B4539B">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Deze compensatie betreft een vergoeding van de kosten van juridische bijstand conform de reguliere forfaitaire bedragen, voor zover deze kosten niet eerder werden vergoed. Deze forfaitaire proceskostenvergoeding wordt vastgesteld op grond van het Besluit proceskosten bestuursrecht.</w:t>
      </w:r>
      <w:r>
        <w:rPr>
          <w:rStyle w:val="Voetnootmarkering"/>
          <w:rFonts w:ascii="Verdana" w:hAnsi="Verdana" w:cs="Arial"/>
        </w:rPr>
        <w:footnoteReference w:id="1"/>
      </w:r>
      <w:r>
        <w:rPr>
          <w:rFonts w:ascii="Verdana" w:hAnsi="Verdana" w:cs="Arial"/>
        </w:rPr>
        <w:t xml:space="preserve"> Hierbij zal een wegingsfactor van 2 (gewicht van de zaak: zeer zwaar) worden toegepast. </w:t>
      </w:r>
      <w:r w:rsidR="0009472C">
        <w:rPr>
          <w:rFonts w:ascii="Verdana" w:hAnsi="Verdana" w:cs="Arial"/>
        </w:rPr>
        <w:t xml:space="preserve">Daarbij </w:t>
      </w:r>
      <w:r w:rsidR="00CA1972">
        <w:rPr>
          <w:rFonts w:ascii="Verdana" w:hAnsi="Verdana" w:cs="Arial"/>
        </w:rPr>
        <w:t>wordt</w:t>
      </w:r>
      <w:r w:rsidR="0009472C">
        <w:rPr>
          <w:rFonts w:ascii="Verdana" w:hAnsi="Verdana" w:cs="Arial"/>
        </w:rPr>
        <w:t xml:space="preserve"> aangenomen dat er geen sprake is van samenhangende zaken.</w:t>
      </w:r>
    </w:p>
    <w:p w:rsidR="00B4539B" w:rsidRDefault="00B4539B" w:rsidP="00B4539B">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Hierbij gelden de volgende voorwaarden:</w:t>
      </w:r>
    </w:p>
    <w:p w:rsidR="00B4539B" w:rsidRDefault="00B4539B" w:rsidP="00B4539B">
      <w:pPr>
        <w:pStyle w:val="Lijstalinea"/>
        <w:widowControl/>
        <w:numPr>
          <w:ilvl w:val="0"/>
          <w:numId w:val="13"/>
        </w:numPr>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ouder </w:t>
      </w:r>
      <w:r w:rsidR="00300033">
        <w:rPr>
          <w:rFonts w:ascii="Verdana" w:hAnsi="Verdana" w:cs="Arial"/>
        </w:rPr>
        <w:t xml:space="preserve">heeft </w:t>
      </w:r>
      <w:r>
        <w:rPr>
          <w:rFonts w:ascii="Verdana" w:hAnsi="Verdana" w:cs="Arial"/>
        </w:rPr>
        <w:t xml:space="preserve">kosten gemaakt voor bijstand door een professioneel gemachtigde met betrekking tot de kinderopvangtoeslag over de </w:t>
      </w:r>
      <w:r w:rsidR="00300033">
        <w:rPr>
          <w:rFonts w:ascii="Verdana" w:hAnsi="Verdana" w:cs="Arial"/>
        </w:rPr>
        <w:t>berekenings</w:t>
      </w:r>
      <w:r>
        <w:rPr>
          <w:rFonts w:ascii="Verdana" w:hAnsi="Verdana" w:cs="Arial"/>
        </w:rPr>
        <w:t>jaren 2012, 2013 en/of 2014.</w:t>
      </w:r>
    </w:p>
    <w:p w:rsidR="00B4539B" w:rsidRPr="004808CE" w:rsidRDefault="00B4539B" w:rsidP="00D22D9E">
      <w:pPr>
        <w:pStyle w:val="Lijstalinea"/>
        <w:widowControl/>
        <w:numPr>
          <w:ilvl w:val="0"/>
          <w:numId w:val="13"/>
        </w:numPr>
        <w:tabs>
          <w:tab w:val="left" w:pos="540"/>
          <w:tab w:val="left" w:pos="900"/>
          <w:tab w:val="left" w:pos="1080"/>
        </w:tabs>
        <w:spacing w:before="120" w:after="120" w:line="240" w:lineRule="auto"/>
        <w:outlineLvl w:val="0"/>
        <w:rPr>
          <w:rFonts w:ascii="Verdana" w:hAnsi="Verdana" w:cs="Arial"/>
        </w:rPr>
      </w:pPr>
      <w:r w:rsidRPr="004808CE">
        <w:rPr>
          <w:rFonts w:ascii="Verdana" w:hAnsi="Verdana" w:cs="Arial"/>
        </w:rPr>
        <w:t>Het eventueel eerder ontvangen bedrag aan proceskostenvergoeding wordt in mindering gebracht op de forfaitaire proceskostenvergoeding.</w:t>
      </w:r>
    </w:p>
    <w:p w:rsidR="00FD770F" w:rsidRDefault="00FD770F" w:rsidP="0018680A">
      <w:pPr>
        <w:widowControl/>
        <w:tabs>
          <w:tab w:val="left" w:pos="540"/>
          <w:tab w:val="left" w:pos="900"/>
          <w:tab w:val="left" w:pos="1080"/>
        </w:tabs>
        <w:spacing w:before="120" w:after="120" w:line="240" w:lineRule="auto"/>
        <w:outlineLvl w:val="0"/>
        <w:rPr>
          <w:rFonts w:ascii="Verdana" w:hAnsi="Verdana" w:cs="Arial"/>
          <w:b/>
          <w:i/>
        </w:rPr>
      </w:pPr>
      <w:r>
        <w:rPr>
          <w:rFonts w:ascii="Verdana" w:hAnsi="Verdana" w:cs="Arial"/>
          <w:b/>
          <w:i/>
        </w:rPr>
        <w:t>3.</w:t>
      </w:r>
      <w:r w:rsidR="00C829C4">
        <w:rPr>
          <w:rFonts w:ascii="Verdana" w:hAnsi="Verdana" w:cs="Arial"/>
          <w:b/>
          <w:i/>
        </w:rPr>
        <w:t>2</w:t>
      </w:r>
      <w:r>
        <w:rPr>
          <w:rFonts w:ascii="Verdana" w:hAnsi="Verdana" w:cs="Arial"/>
          <w:b/>
          <w:i/>
        </w:rPr>
        <w:t xml:space="preserve"> </w:t>
      </w:r>
      <w:r w:rsidR="001849F3">
        <w:rPr>
          <w:rFonts w:ascii="Verdana" w:hAnsi="Verdana" w:cs="Arial"/>
          <w:b/>
          <w:i/>
        </w:rPr>
        <w:tab/>
      </w:r>
      <w:r>
        <w:rPr>
          <w:rFonts w:ascii="Verdana" w:hAnsi="Verdana" w:cs="Arial"/>
          <w:b/>
          <w:i/>
        </w:rPr>
        <w:t>Procedure</w:t>
      </w:r>
    </w:p>
    <w:p w:rsidR="008F7574" w:rsidRDefault="0090729E" w:rsidP="008D1C84">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rPr>
        <w:t>De Belastingdienst/Toeslagen</w:t>
      </w:r>
      <w:r w:rsidR="00AE64DB">
        <w:rPr>
          <w:rFonts w:ascii="Verdana" w:hAnsi="Verdana" w:cs="Arial"/>
        </w:rPr>
        <w:t xml:space="preserve"> berekent de hoogte van de compensatie en</w:t>
      </w:r>
      <w:r>
        <w:rPr>
          <w:rFonts w:ascii="Verdana" w:hAnsi="Verdana" w:cs="Arial"/>
        </w:rPr>
        <w:t xml:space="preserve"> informeert de </w:t>
      </w:r>
      <w:r w:rsidR="00487E90">
        <w:rPr>
          <w:rFonts w:ascii="Verdana" w:hAnsi="Verdana" w:cs="Arial"/>
        </w:rPr>
        <w:t>ouder</w:t>
      </w:r>
      <w:r w:rsidR="00AE64DB">
        <w:rPr>
          <w:rFonts w:ascii="Verdana" w:hAnsi="Verdana" w:cs="Arial"/>
        </w:rPr>
        <w:t xml:space="preserve"> hierover</w:t>
      </w:r>
      <w:r>
        <w:rPr>
          <w:rFonts w:ascii="Verdana" w:hAnsi="Verdana" w:cs="Arial"/>
        </w:rPr>
        <w:t xml:space="preserve"> schriftelijk</w:t>
      </w:r>
      <w:r w:rsidR="00C540F5">
        <w:rPr>
          <w:rFonts w:ascii="Verdana" w:hAnsi="Verdana" w:cs="Arial"/>
        </w:rPr>
        <w:t xml:space="preserve"> door middel van een vooraankondiging. De ouder heeft de mogelijkheid om </w:t>
      </w:r>
      <w:r w:rsidR="00BA1559">
        <w:rPr>
          <w:rFonts w:ascii="Verdana" w:hAnsi="Verdana" w:cs="Arial"/>
        </w:rPr>
        <w:t xml:space="preserve">binnen zes weken na dagtekening van de vooraankondiging hierop </w:t>
      </w:r>
      <w:r w:rsidR="00C540F5">
        <w:rPr>
          <w:rFonts w:ascii="Verdana" w:hAnsi="Verdana" w:cs="Arial"/>
        </w:rPr>
        <w:t>te reageren. Vervolgens zal de Belastingdienst/Toeslagen een besluit met betrekking tot de compensatie nemen.</w:t>
      </w:r>
      <w:r>
        <w:rPr>
          <w:rFonts w:ascii="Verdana" w:hAnsi="Verdana" w:cs="Arial"/>
        </w:rPr>
        <w:t xml:space="preserve"> </w:t>
      </w:r>
      <w:r w:rsidR="00300033">
        <w:rPr>
          <w:rFonts w:ascii="Verdana" w:hAnsi="Verdana" w:cs="Arial"/>
        </w:rPr>
        <w:t xml:space="preserve">Dit besluit betreft een beschikking in de zin van de Awb. </w:t>
      </w:r>
      <w:r w:rsidR="008D1C84">
        <w:rPr>
          <w:rFonts w:ascii="Verdana" w:hAnsi="Verdana" w:cs="Arial"/>
        </w:rPr>
        <w:t xml:space="preserve">De ouder kan bezwaar </w:t>
      </w:r>
      <w:r w:rsidR="00DA0C9E">
        <w:rPr>
          <w:rFonts w:ascii="Verdana" w:hAnsi="Verdana" w:cs="Arial"/>
        </w:rPr>
        <w:t xml:space="preserve">maken bij de Belastingdienst/Toeslagen </w:t>
      </w:r>
      <w:r w:rsidR="0009472C">
        <w:rPr>
          <w:rFonts w:ascii="Verdana" w:hAnsi="Verdana" w:cs="Arial"/>
        </w:rPr>
        <w:t xml:space="preserve">tegen </w:t>
      </w:r>
      <w:r w:rsidR="004C7429">
        <w:rPr>
          <w:rFonts w:ascii="Verdana" w:hAnsi="Verdana" w:cs="Arial"/>
        </w:rPr>
        <w:t>deze beschikking</w:t>
      </w:r>
      <w:r w:rsidR="0009472C">
        <w:rPr>
          <w:rFonts w:ascii="Verdana" w:hAnsi="Verdana" w:cs="Arial"/>
        </w:rPr>
        <w:t>. Een</w:t>
      </w:r>
      <w:r w:rsidR="00C540F5">
        <w:rPr>
          <w:rFonts w:ascii="Verdana" w:hAnsi="Verdana" w:cs="Arial"/>
        </w:rPr>
        <w:t xml:space="preserve"> onafhankelijke bezwaarschriftenadviescommissie als bedoeld in artikel 7:13 Awb </w:t>
      </w:r>
      <w:r w:rsidR="0009472C">
        <w:rPr>
          <w:rFonts w:ascii="Verdana" w:hAnsi="Verdana" w:cs="Arial"/>
        </w:rPr>
        <w:t>brengt advies uit over dit bezwaar.</w:t>
      </w:r>
      <w:r w:rsidR="00487E90" w:rsidRPr="00487E90">
        <w:rPr>
          <w:rFonts w:ascii="Verdana" w:hAnsi="Verdana" w:cs="Arial"/>
          <w:bCs/>
        </w:rPr>
        <w:t xml:space="preserve"> </w:t>
      </w:r>
    </w:p>
    <w:p w:rsidR="00442B3E" w:rsidRDefault="00442B3E" w:rsidP="008D1C84">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Het in de vooraankondiging genoemde bedrag aan compensatie wordt door de Belastingdienst/Toeslag</w:t>
      </w:r>
      <w:r w:rsidR="002C5FBD">
        <w:rPr>
          <w:rFonts w:ascii="Verdana" w:hAnsi="Verdana" w:cs="Arial"/>
          <w:bCs/>
        </w:rPr>
        <w:t>en</w:t>
      </w:r>
      <w:r>
        <w:rPr>
          <w:rFonts w:ascii="Verdana" w:hAnsi="Verdana" w:cs="Arial"/>
          <w:bCs/>
        </w:rPr>
        <w:t xml:space="preserve">, vooruitlopend op de beschikking, zo spoedig </w:t>
      </w:r>
      <w:r>
        <w:rPr>
          <w:rFonts w:ascii="Verdana" w:hAnsi="Verdana" w:cs="Arial"/>
          <w:bCs/>
        </w:rPr>
        <w:lastRenderedPageBreak/>
        <w:t>mogelijk uitbetaald. Tegen de vooraankondiging staat geen bezwaar open. De ouder kan zijn bezwaren tegen de hoogte van de compensatie meenemen bij een eventueel bezwaar tegen de beschikking</w:t>
      </w:r>
      <w:r w:rsidR="0014472D">
        <w:rPr>
          <w:rFonts w:ascii="Verdana" w:hAnsi="Verdana" w:cs="Arial"/>
          <w:bCs/>
        </w:rPr>
        <w:t xml:space="preserve"> die volgt op de vooraankondiging</w:t>
      </w:r>
      <w:r>
        <w:rPr>
          <w:rFonts w:ascii="Verdana" w:hAnsi="Verdana" w:cs="Arial"/>
          <w:bCs/>
        </w:rPr>
        <w:t xml:space="preserve">.     </w:t>
      </w:r>
    </w:p>
    <w:p w:rsidR="00192243" w:rsidRPr="0090729E" w:rsidRDefault="008B0771" w:rsidP="00192243">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bCs/>
        </w:rPr>
        <w:t xml:space="preserve">In </w:t>
      </w:r>
      <w:r w:rsidR="004C7429">
        <w:rPr>
          <w:rFonts w:ascii="Verdana" w:hAnsi="Verdana" w:cs="Arial"/>
          <w:bCs/>
        </w:rPr>
        <w:t>de beschikking</w:t>
      </w:r>
      <w:r w:rsidR="00300033">
        <w:rPr>
          <w:rFonts w:ascii="Verdana" w:hAnsi="Verdana" w:cs="Arial"/>
          <w:bCs/>
        </w:rPr>
        <w:t xml:space="preserve"> met betrekking tot de compensatie</w:t>
      </w:r>
      <w:r>
        <w:rPr>
          <w:rFonts w:ascii="Verdana" w:hAnsi="Verdana" w:cs="Arial"/>
          <w:bCs/>
        </w:rPr>
        <w:t xml:space="preserve"> wijst</w:t>
      </w:r>
      <w:r w:rsidR="008F7574">
        <w:rPr>
          <w:rFonts w:ascii="Verdana" w:hAnsi="Verdana" w:cs="Arial"/>
          <w:bCs/>
        </w:rPr>
        <w:t xml:space="preserve"> de</w:t>
      </w:r>
      <w:r w:rsidR="00487E90">
        <w:rPr>
          <w:rFonts w:ascii="Verdana" w:hAnsi="Verdana" w:cs="Arial"/>
          <w:bCs/>
        </w:rPr>
        <w:t xml:space="preserve"> Belastingdienst/Toeslagen de ouder ook op de mogelijkheid van aanvullende </w:t>
      </w:r>
      <w:r w:rsidR="008F7574">
        <w:rPr>
          <w:rFonts w:ascii="Verdana" w:hAnsi="Verdana" w:cs="Arial"/>
          <w:bCs/>
        </w:rPr>
        <w:t>compensatie</w:t>
      </w:r>
      <w:r w:rsidR="00487E90">
        <w:rPr>
          <w:rFonts w:ascii="Verdana" w:hAnsi="Verdana" w:cs="Arial"/>
          <w:bCs/>
        </w:rPr>
        <w:t xml:space="preserve"> (zie onderdeel 4)</w:t>
      </w:r>
      <w:r>
        <w:rPr>
          <w:rFonts w:ascii="Verdana" w:hAnsi="Verdana" w:cs="Arial"/>
          <w:bCs/>
        </w:rPr>
        <w:t>.</w:t>
      </w:r>
    </w:p>
    <w:p w:rsidR="00881FDA" w:rsidRPr="0090729E" w:rsidRDefault="00881FDA" w:rsidP="00881FDA">
      <w:pPr>
        <w:widowControl/>
        <w:tabs>
          <w:tab w:val="left" w:pos="540"/>
          <w:tab w:val="left" w:pos="900"/>
          <w:tab w:val="left" w:pos="1080"/>
        </w:tabs>
        <w:spacing w:before="120" w:after="120" w:line="240" w:lineRule="auto"/>
        <w:outlineLvl w:val="0"/>
        <w:rPr>
          <w:rFonts w:ascii="Verdana" w:hAnsi="Verdana" w:cs="Arial"/>
        </w:rPr>
      </w:pPr>
    </w:p>
    <w:p w:rsidR="00C25B69" w:rsidRDefault="00845612" w:rsidP="00C25B69">
      <w:pPr>
        <w:widowControl/>
        <w:tabs>
          <w:tab w:val="left" w:pos="540"/>
          <w:tab w:val="left" w:pos="900"/>
          <w:tab w:val="left" w:pos="1080"/>
        </w:tabs>
        <w:spacing w:before="120" w:after="120" w:line="240" w:lineRule="auto"/>
        <w:outlineLvl w:val="0"/>
        <w:rPr>
          <w:rFonts w:ascii="Verdana" w:hAnsi="Verdana" w:cs="Arial"/>
          <w:b/>
          <w:bCs/>
        </w:rPr>
      </w:pPr>
      <w:r>
        <w:rPr>
          <w:rFonts w:ascii="Verdana" w:hAnsi="Verdana" w:cs="Arial"/>
          <w:b/>
          <w:bCs/>
        </w:rPr>
        <w:t>4</w:t>
      </w:r>
      <w:r w:rsidR="00243667">
        <w:rPr>
          <w:rFonts w:ascii="Verdana" w:hAnsi="Verdana" w:cs="Arial"/>
          <w:b/>
          <w:bCs/>
        </w:rPr>
        <w:t>.</w:t>
      </w:r>
      <w:r w:rsidR="00243667">
        <w:rPr>
          <w:rFonts w:ascii="Verdana" w:hAnsi="Verdana" w:cs="Arial"/>
          <w:b/>
          <w:bCs/>
        </w:rPr>
        <w:tab/>
      </w:r>
      <w:r w:rsidR="00FD770F">
        <w:rPr>
          <w:rFonts w:ascii="Verdana" w:hAnsi="Verdana" w:cs="Arial"/>
          <w:b/>
          <w:bCs/>
        </w:rPr>
        <w:t>Aanvullende</w:t>
      </w:r>
      <w:r w:rsidR="00C25B69">
        <w:rPr>
          <w:rFonts w:ascii="Verdana" w:hAnsi="Verdana" w:cs="Arial"/>
          <w:b/>
          <w:bCs/>
        </w:rPr>
        <w:t xml:space="preserve"> </w:t>
      </w:r>
      <w:r w:rsidR="006136E9">
        <w:rPr>
          <w:rFonts w:ascii="Verdana" w:hAnsi="Verdana" w:cs="Arial"/>
          <w:b/>
          <w:bCs/>
        </w:rPr>
        <w:t>compensatie</w:t>
      </w:r>
    </w:p>
    <w:p w:rsidR="008F7574" w:rsidRDefault="00D4677D" w:rsidP="00587858">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Een</w:t>
      </w:r>
      <w:r w:rsidR="008F7574">
        <w:rPr>
          <w:rFonts w:ascii="Verdana" w:hAnsi="Verdana" w:cs="Arial"/>
          <w:bCs/>
        </w:rPr>
        <w:t xml:space="preserve"> ouder</w:t>
      </w:r>
      <w:r w:rsidR="0025635F">
        <w:rPr>
          <w:rFonts w:ascii="Verdana" w:hAnsi="Verdana" w:cs="Arial"/>
          <w:bCs/>
        </w:rPr>
        <w:t>,</w:t>
      </w:r>
      <w:r w:rsidR="008F7574">
        <w:rPr>
          <w:rFonts w:ascii="Verdana" w:hAnsi="Verdana" w:cs="Arial"/>
          <w:bCs/>
        </w:rPr>
        <w:t xml:space="preserve"> </w:t>
      </w:r>
      <w:r>
        <w:rPr>
          <w:rFonts w:ascii="Verdana" w:hAnsi="Verdana" w:cs="Arial"/>
          <w:bCs/>
        </w:rPr>
        <w:t xml:space="preserve">als </w:t>
      </w:r>
      <w:r w:rsidR="008F7574">
        <w:rPr>
          <w:rFonts w:ascii="Verdana" w:hAnsi="Verdana" w:cs="Arial"/>
          <w:bCs/>
        </w:rPr>
        <w:t xml:space="preserve">bedoeld in </w:t>
      </w:r>
      <w:r w:rsidR="0025635F">
        <w:rPr>
          <w:rFonts w:ascii="Verdana" w:hAnsi="Verdana" w:cs="Arial"/>
          <w:bCs/>
        </w:rPr>
        <w:t>onderdeel</w:t>
      </w:r>
      <w:r w:rsidR="008F7574">
        <w:rPr>
          <w:rFonts w:ascii="Verdana" w:hAnsi="Verdana" w:cs="Arial"/>
          <w:bCs/>
        </w:rPr>
        <w:t xml:space="preserve"> 3</w:t>
      </w:r>
      <w:r w:rsidR="0025635F">
        <w:rPr>
          <w:rFonts w:ascii="Verdana" w:hAnsi="Verdana" w:cs="Arial"/>
          <w:bCs/>
        </w:rPr>
        <w:t>,</w:t>
      </w:r>
      <w:r w:rsidR="008F7574">
        <w:rPr>
          <w:rFonts w:ascii="Verdana" w:hAnsi="Verdana" w:cs="Arial"/>
          <w:bCs/>
        </w:rPr>
        <w:t xml:space="preserve"> heeft mogelijk recht op aanvullende compensatie. </w:t>
      </w:r>
    </w:p>
    <w:p w:rsidR="008F7574" w:rsidRDefault="008F7574" w:rsidP="00587858">
      <w:pPr>
        <w:widowControl/>
        <w:tabs>
          <w:tab w:val="left" w:pos="540"/>
          <w:tab w:val="left" w:pos="900"/>
          <w:tab w:val="left" w:pos="1080"/>
        </w:tabs>
        <w:spacing w:before="120" w:after="120" w:line="240" w:lineRule="auto"/>
        <w:outlineLvl w:val="0"/>
        <w:rPr>
          <w:rFonts w:ascii="Verdana" w:hAnsi="Verdana" w:cs="Arial"/>
          <w:b/>
          <w:bCs/>
          <w:i/>
        </w:rPr>
      </w:pPr>
      <w:r>
        <w:rPr>
          <w:rFonts w:ascii="Verdana" w:hAnsi="Verdana" w:cs="Arial"/>
          <w:b/>
          <w:bCs/>
          <w:i/>
        </w:rPr>
        <w:t xml:space="preserve">4.1 </w:t>
      </w:r>
      <w:r>
        <w:rPr>
          <w:rFonts w:ascii="Verdana" w:hAnsi="Verdana" w:cs="Arial"/>
          <w:b/>
          <w:bCs/>
          <w:i/>
        </w:rPr>
        <w:tab/>
        <w:t>Elementen van de aanvullende compensatie</w:t>
      </w:r>
    </w:p>
    <w:p w:rsidR="008F7574" w:rsidRPr="0025635F" w:rsidRDefault="008F7574" w:rsidP="0025635F">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aanvullende compensatie valt onder te verdelen in </w:t>
      </w:r>
      <w:r w:rsidR="00300033">
        <w:rPr>
          <w:rFonts w:ascii="Verdana" w:hAnsi="Verdana" w:cs="Arial"/>
        </w:rPr>
        <w:t xml:space="preserve">twee </w:t>
      </w:r>
      <w:r>
        <w:rPr>
          <w:rFonts w:ascii="Verdana" w:hAnsi="Verdana" w:cs="Arial"/>
        </w:rPr>
        <w:t>elementen:</w:t>
      </w:r>
    </w:p>
    <w:p w:rsidR="008F7574" w:rsidRDefault="00171CEE" w:rsidP="008F7574">
      <w:pPr>
        <w:pStyle w:val="Lijstalinea"/>
        <w:widowControl/>
        <w:numPr>
          <w:ilvl w:val="0"/>
          <w:numId w:val="14"/>
        </w:numPr>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Compensatie voor </w:t>
      </w:r>
      <w:r w:rsidR="008F7574">
        <w:rPr>
          <w:rFonts w:ascii="Verdana" w:hAnsi="Verdana" w:cs="Arial"/>
        </w:rPr>
        <w:t xml:space="preserve">schade door </w:t>
      </w:r>
      <w:r w:rsidR="00BA1559">
        <w:rPr>
          <w:rFonts w:ascii="Verdana" w:hAnsi="Verdana" w:cs="Arial"/>
        </w:rPr>
        <w:t>gedwongen verkoop van bezittingen</w:t>
      </w:r>
      <w:r w:rsidR="008F7574">
        <w:rPr>
          <w:rFonts w:ascii="Verdana" w:hAnsi="Verdana" w:cs="Arial"/>
        </w:rPr>
        <w:t>.</w:t>
      </w:r>
    </w:p>
    <w:p w:rsidR="008F7574" w:rsidRPr="008F7574" w:rsidRDefault="00171CEE" w:rsidP="008F7574">
      <w:pPr>
        <w:pStyle w:val="Lijstalinea"/>
        <w:widowControl/>
        <w:numPr>
          <w:ilvl w:val="0"/>
          <w:numId w:val="14"/>
        </w:numPr>
        <w:tabs>
          <w:tab w:val="left" w:pos="540"/>
          <w:tab w:val="left" w:pos="900"/>
          <w:tab w:val="left" w:pos="1080"/>
        </w:tabs>
        <w:spacing w:before="120" w:after="120" w:line="240" w:lineRule="auto"/>
        <w:outlineLvl w:val="0"/>
        <w:rPr>
          <w:rFonts w:ascii="Verdana" w:hAnsi="Verdana" w:cs="Arial"/>
        </w:rPr>
      </w:pPr>
      <w:r>
        <w:rPr>
          <w:rFonts w:ascii="Verdana" w:hAnsi="Verdana" w:cs="Arial"/>
        </w:rPr>
        <w:t>Compensatie voor g</w:t>
      </w:r>
      <w:r w:rsidR="008F7574">
        <w:rPr>
          <w:rFonts w:ascii="Verdana" w:hAnsi="Verdana" w:cs="Arial"/>
        </w:rPr>
        <w:t>evolgschade voor toeslagen.</w:t>
      </w:r>
    </w:p>
    <w:p w:rsidR="00171CEE" w:rsidRDefault="0025635F" w:rsidP="00587858">
      <w:pPr>
        <w:widowControl/>
        <w:tabs>
          <w:tab w:val="left" w:pos="540"/>
          <w:tab w:val="left" w:pos="900"/>
          <w:tab w:val="left" w:pos="1080"/>
        </w:tabs>
        <w:spacing w:before="120" w:after="120" w:line="240" w:lineRule="auto"/>
        <w:outlineLvl w:val="0"/>
        <w:rPr>
          <w:rFonts w:ascii="Verdana" w:hAnsi="Verdana" w:cs="Arial"/>
          <w:bCs/>
          <w:i/>
        </w:rPr>
      </w:pPr>
      <w:r>
        <w:rPr>
          <w:rFonts w:ascii="Verdana" w:hAnsi="Verdana" w:cs="Arial"/>
          <w:bCs/>
          <w:i/>
        </w:rPr>
        <w:t>Ad 1</w:t>
      </w:r>
      <w:r w:rsidR="00171CEE">
        <w:rPr>
          <w:rFonts w:ascii="Verdana" w:hAnsi="Verdana" w:cs="Arial"/>
          <w:bCs/>
          <w:i/>
        </w:rPr>
        <w:t xml:space="preserve">. Compensatie voor schade door </w:t>
      </w:r>
      <w:r w:rsidR="00BA1559">
        <w:rPr>
          <w:rFonts w:ascii="Verdana" w:hAnsi="Verdana" w:cs="Arial"/>
          <w:bCs/>
          <w:i/>
        </w:rPr>
        <w:t>gedwongen verkoop van bezittingen</w:t>
      </w:r>
    </w:p>
    <w:p w:rsidR="00171CEE" w:rsidRDefault="00300033" w:rsidP="00587858">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Als</w:t>
      </w:r>
      <w:r w:rsidR="004F3401">
        <w:rPr>
          <w:rFonts w:ascii="Verdana" w:hAnsi="Verdana" w:cs="Arial"/>
          <w:bCs/>
        </w:rPr>
        <w:t xml:space="preserve"> dwanginvordering </w:t>
      </w:r>
      <w:r w:rsidR="0025635F">
        <w:rPr>
          <w:rFonts w:ascii="Verdana" w:hAnsi="Verdana" w:cs="Arial"/>
          <w:bCs/>
        </w:rPr>
        <w:t>door de Belastingdienst/</w:t>
      </w:r>
      <w:r>
        <w:rPr>
          <w:rFonts w:ascii="Verdana" w:hAnsi="Verdana" w:cs="Arial"/>
          <w:bCs/>
        </w:rPr>
        <w:t>T</w:t>
      </w:r>
      <w:r w:rsidR="0025635F">
        <w:rPr>
          <w:rFonts w:ascii="Verdana" w:hAnsi="Verdana" w:cs="Arial"/>
          <w:bCs/>
        </w:rPr>
        <w:t xml:space="preserve">oeslagen </w:t>
      </w:r>
      <w:r w:rsidR="004F3401">
        <w:rPr>
          <w:rFonts w:ascii="Verdana" w:hAnsi="Verdana" w:cs="Arial"/>
          <w:bCs/>
        </w:rPr>
        <w:t xml:space="preserve">aantoonbaar heeft geleid tot gedwongen verkoop van bezittingen van de ouder, kan de ouder op aanvraag voor deze schade een compensatie krijgen. </w:t>
      </w:r>
    </w:p>
    <w:p w:rsidR="004F3401" w:rsidRDefault="004F3401" w:rsidP="004F3401">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Hierbij gelden de volgende voorwaarden:</w:t>
      </w:r>
    </w:p>
    <w:p w:rsidR="004F3401" w:rsidRDefault="00BE74BD" w:rsidP="004F3401">
      <w:pPr>
        <w:pStyle w:val="Lijstalinea"/>
        <w:widowControl/>
        <w:numPr>
          <w:ilvl w:val="0"/>
          <w:numId w:val="13"/>
        </w:numPr>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Er is sprake van gedwongen verkoop van bezittingen </w:t>
      </w:r>
      <w:r w:rsidR="004F3401">
        <w:rPr>
          <w:rFonts w:ascii="Verdana" w:hAnsi="Verdana" w:cs="Arial"/>
        </w:rPr>
        <w:t xml:space="preserve">door </w:t>
      </w:r>
      <w:r w:rsidR="00307639">
        <w:rPr>
          <w:rFonts w:ascii="Verdana" w:hAnsi="Verdana" w:cs="Arial"/>
        </w:rPr>
        <w:t xml:space="preserve">de Belastingdienst/Toeslagen bij de </w:t>
      </w:r>
      <w:r w:rsidR="004F3401">
        <w:rPr>
          <w:rFonts w:ascii="Verdana" w:hAnsi="Verdana" w:cs="Arial"/>
        </w:rPr>
        <w:t xml:space="preserve">dwanginvordering </w:t>
      </w:r>
      <w:r w:rsidR="00307639">
        <w:rPr>
          <w:rFonts w:ascii="Verdana" w:hAnsi="Verdana" w:cs="Arial"/>
        </w:rPr>
        <w:t>van</w:t>
      </w:r>
      <w:r w:rsidR="004F3401">
        <w:rPr>
          <w:rFonts w:ascii="Verdana" w:hAnsi="Verdana" w:cs="Arial"/>
        </w:rPr>
        <w:t xml:space="preserve"> </w:t>
      </w:r>
      <w:r w:rsidR="00D4677D">
        <w:rPr>
          <w:rFonts w:ascii="Verdana" w:hAnsi="Verdana" w:cs="Arial"/>
        </w:rPr>
        <w:t>een terugvordering</w:t>
      </w:r>
      <w:r w:rsidR="004F3401">
        <w:rPr>
          <w:rFonts w:ascii="Verdana" w:hAnsi="Verdana" w:cs="Arial"/>
        </w:rPr>
        <w:t xml:space="preserve"> kinderopvangtoeslag over de </w:t>
      </w:r>
      <w:r w:rsidR="0002562C">
        <w:rPr>
          <w:rFonts w:ascii="Verdana" w:hAnsi="Verdana" w:cs="Arial"/>
        </w:rPr>
        <w:t>berekenings</w:t>
      </w:r>
      <w:r w:rsidR="004F3401">
        <w:rPr>
          <w:rFonts w:ascii="Verdana" w:hAnsi="Verdana" w:cs="Arial"/>
        </w:rPr>
        <w:t>jaren 2012, 2013 en/of 2014.</w:t>
      </w:r>
    </w:p>
    <w:p w:rsidR="004F3401" w:rsidRDefault="004F3401" w:rsidP="004F3401">
      <w:pPr>
        <w:pStyle w:val="Lijstalinea"/>
        <w:widowControl/>
        <w:numPr>
          <w:ilvl w:val="0"/>
          <w:numId w:val="13"/>
        </w:numPr>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ouder </w:t>
      </w:r>
      <w:r w:rsidR="00CB057C">
        <w:rPr>
          <w:rFonts w:ascii="Verdana" w:hAnsi="Verdana" w:cs="Arial"/>
        </w:rPr>
        <w:t>maakt aannemelijk</w:t>
      </w:r>
      <w:r>
        <w:rPr>
          <w:rFonts w:ascii="Verdana" w:hAnsi="Verdana" w:cs="Arial"/>
        </w:rPr>
        <w:t xml:space="preserve"> </w:t>
      </w:r>
      <w:r w:rsidR="00BE74BD">
        <w:rPr>
          <w:rFonts w:ascii="Verdana" w:hAnsi="Verdana" w:cs="Arial"/>
        </w:rPr>
        <w:t xml:space="preserve">dat hij </w:t>
      </w:r>
      <w:r>
        <w:rPr>
          <w:rFonts w:ascii="Verdana" w:hAnsi="Verdana" w:cs="Arial"/>
        </w:rPr>
        <w:t xml:space="preserve">schade heeft ondervonden door de </w:t>
      </w:r>
      <w:r w:rsidR="00BE74BD">
        <w:rPr>
          <w:rFonts w:ascii="Verdana" w:hAnsi="Verdana" w:cs="Arial"/>
        </w:rPr>
        <w:t>gedwongen verkoop en hoe hoog die schade is</w:t>
      </w:r>
      <w:r>
        <w:rPr>
          <w:rFonts w:ascii="Verdana" w:hAnsi="Verdana" w:cs="Arial"/>
        </w:rPr>
        <w:t>.</w:t>
      </w:r>
    </w:p>
    <w:p w:rsidR="004F3401" w:rsidRPr="004F3401" w:rsidRDefault="004F3401" w:rsidP="004F3401">
      <w:pPr>
        <w:widowControl/>
        <w:tabs>
          <w:tab w:val="left" w:pos="540"/>
          <w:tab w:val="left" w:pos="900"/>
          <w:tab w:val="left" w:pos="1080"/>
        </w:tabs>
        <w:spacing w:before="120" w:after="120" w:line="240" w:lineRule="auto"/>
        <w:outlineLvl w:val="0"/>
        <w:rPr>
          <w:rFonts w:ascii="Verdana" w:hAnsi="Verdana" w:cs="Arial"/>
          <w:i/>
        </w:rPr>
      </w:pPr>
      <w:r>
        <w:rPr>
          <w:rFonts w:ascii="Verdana" w:hAnsi="Verdana" w:cs="Arial"/>
          <w:i/>
        </w:rPr>
        <w:t xml:space="preserve">Ad </w:t>
      </w:r>
      <w:r w:rsidR="0025635F">
        <w:rPr>
          <w:rFonts w:ascii="Verdana" w:hAnsi="Verdana" w:cs="Arial"/>
          <w:i/>
        </w:rPr>
        <w:t>2</w:t>
      </w:r>
      <w:r>
        <w:rPr>
          <w:rFonts w:ascii="Verdana" w:hAnsi="Verdana" w:cs="Arial"/>
          <w:i/>
        </w:rPr>
        <w:t>. Compensatie voor gevolgschade voor toeslagen</w:t>
      </w:r>
    </w:p>
    <w:p w:rsidR="009C2FD1" w:rsidRDefault="008904DE" w:rsidP="00587858">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Als</w:t>
      </w:r>
      <w:r w:rsidRPr="008904DE">
        <w:rPr>
          <w:rFonts w:ascii="Verdana" w:hAnsi="Verdana" w:cs="Arial"/>
          <w:bCs/>
        </w:rPr>
        <w:t xml:space="preserve"> de </w:t>
      </w:r>
      <w:r>
        <w:rPr>
          <w:rFonts w:ascii="Verdana" w:hAnsi="Verdana" w:cs="Arial"/>
          <w:bCs/>
        </w:rPr>
        <w:t>compensatie</w:t>
      </w:r>
      <w:r w:rsidR="00FB0411">
        <w:rPr>
          <w:rFonts w:ascii="Verdana" w:hAnsi="Verdana" w:cs="Arial"/>
          <w:bCs/>
        </w:rPr>
        <w:t xml:space="preserve">, bedoeld in onderdeel 3, </w:t>
      </w:r>
      <w:r w:rsidRPr="008904DE">
        <w:rPr>
          <w:rFonts w:ascii="Verdana" w:hAnsi="Verdana" w:cs="Arial"/>
          <w:bCs/>
        </w:rPr>
        <w:t xml:space="preserve">ertoe leidt dat de </w:t>
      </w:r>
      <w:r>
        <w:rPr>
          <w:rFonts w:ascii="Verdana" w:hAnsi="Verdana" w:cs="Arial"/>
          <w:bCs/>
        </w:rPr>
        <w:t>ouder</w:t>
      </w:r>
      <w:r w:rsidRPr="008904DE">
        <w:rPr>
          <w:rFonts w:ascii="Verdana" w:hAnsi="Verdana" w:cs="Arial"/>
          <w:bCs/>
        </w:rPr>
        <w:t xml:space="preserve"> over het kalenderjaar na het verkrijgen van </w:t>
      </w:r>
      <w:r w:rsidR="002F7997">
        <w:rPr>
          <w:rFonts w:ascii="Verdana" w:hAnsi="Verdana" w:cs="Arial"/>
          <w:bCs/>
        </w:rPr>
        <w:t xml:space="preserve">het recht op </w:t>
      </w:r>
      <w:r w:rsidRPr="008904DE">
        <w:rPr>
          <w:rFonts w:ascii="Verdana" w:hAnsi="Verdana" w:cs="Arial"/>
          <w:bCs/>
        </w:rPr>
        <w:t xml:space="preserve">de </w:t>
      </w:r>
      <w:r>
        <w:rPr>
          <w:rFonts w:ascii="Verdana" w:hAnsi="Verdana" w:cs="Arial"/>
          <w:bCs/>
        </w:rPr>
        <w:t>compensatie</w:t>
      </w:r>
      <w:r w:rsidRPr="008904DE">
        <w:rPr>
          <w:rFonts w:ascii="Verdana" w:hAnsi="Verdana" w:cs="Arial"/>
          <w:bCs/>
        </w:rPr>
        <w:t xml:space="preserve"> </w:t>
      </w:r>
      <w:r w:rsidR="00F46212">
        <w:rPr>
          <w:rFonts w:ascii="Verdana" w:hAnsi="Verdana" w:cs="Arial"/>
          <w:bCs/>
        </w:rPr>
        <w:t xml:space="preserve">door </w:t>
      </w:r>
      <w:r w:rsidR="002F7997">
        <w:rPr>
          <w:rFonts w:ascii="Verdana" w:hAnsi="Verdana" w:cs="Arial"/>
          <w:bCs/>
        </w:rPr>
        <w:t xml:space="preserve">overschrijding van </w:t>
      </w:r>
      <w:r w:rsidR="00F46212">
        <w:rPr>
          <w:rFonts w:ascii="Verdana" w:hAnsi="Verdana" w:cs="Arial"/>
          <w:bCs/>
        </w:rPr>
        <w:t xml:space="preserve">de vermogensgrens </w:t>
      </w:r>
      <w:r w:rsidRPr="008904DE">
        <w:rPr>
          <w:rFonts w:ascii="Verdana" w:hAnsi="Verdana" w:cs="Arial"/>
          <w:bCs/>
        </w:rPr>
        <w:t xml:space="preserve">aantoonbaar geen aanspraak kan maken op zorgtoeslag </w:t>
      </w:r>
      <w:r>
        <w:rPr>
          <w:rFonts w:ascii="Verdana" w:hAnsi="Verdana" w:cs="Arial"/>
          <w:bCs/>
        </w:rPr>
        <w:t>(</w:t>
      </w:r>
      <w:r w:rsidRPr="008904DE">
        <w:rPr>
          <w:rFonts w:ascii="Verdana" w:hAnsi="Verdana" w:cs="Arial"/>
          <w:bCs/>
        </w:rPr>
        <w:t>op grond van de Wet op de zorgtoeslag</w:t>
      </w:r>
      <w:r>
        <w:rPr>
          <w:rFonts w:ascii="Verdana" w:hAnsi="Verdana" w:cs="Arial"/>
          <w:bCs/>
        </w:rPr>
        <w:t>)</w:t>
      </w:r>
      <w:r w:rsidRPr="008904DE">
        <w:rPr>
          <w:rFonts w:ascii="Verdana" w:hAnsi="Verdana" w:cs="Arial"/>
          <w:bCs/>
        </w:rPr>
        <w:t xml:space="preserve">, huurtoeslag </w:t>
      </w:r>
      <w:r>
        <w:rPr>
          <w:rFonts w:ascii="Verdana" w:hAnsi="Verdana" w:cs="Arial"/>
          <w:bCs/>
        </w:rPr>
        <w:t>(</w:t>
      </w:r>
      <w:r w:rsidRPr="008904DE">
        <w:rPr>
          <w:rFonts w:ascii="Verdana" w:hAnsi="Verdana" w:cs="Arial"/>
          <w:bCs/>
        </w:rPr>
        <w:t>op grond van de Wet op de huurtoeslag</w:t>
      </w:r>
      <w:r>
        <w:rPr>
          <w:rFonts w:ascii="Verdana" w:hAnsi="Verdana" w:cs="Arial"/>
          <w:bCs/>
        </w:rPr>
        <w:t>)</w:t>
      </w:r>
      <w:r w:rsidRPr="008904DE">
        <w:rPr>
          <w:rFonts w:ascii="Verdana" w:hAnsi="Verdana" w:cs="Arial"/>
          <w:bCs/>
        </w:rPr>
        <w:t xml:space="preserve"> of kindgebonden budget </w:t>
      </w:r>
      <w:r>
        <w:rPr>
          <w:rFonts w:ascii="Verdana" w:hAnsi="Verdana" w:cs="Arial"/>
          <w:bCs/>
        </w:rPr>
        <w:t>(</w:t>
      </w:r>
      <w:r w:rsidRPr="008904DE">
        <w:rPr>
          <w:rFonts w:ascii="Verdana" w:hAnsi="Verdana" w:cs="Arial"/>
          <w:bCs/>
        </w:rPr>
        <w:t>op grond van de Wet op het kindgebonden budget</w:t>
      </w:r>
      <w:r>
        <w:rPr>
          <w:rFonts w:ascii="Verdana" w:hAnsi="Verdana" w:cs="Arial"/>
          <w:bCs/>
        </w:rPr>
        <w:t>)</w:t>
      </w:r>
      <w:r w:rsidRPr="008904DE">
        <w:rPr>
          <w:rFonts w:ascii="Verdana" w:hAnsi="Verdana" w:cs="Arial"/>
          <w:bCs/>
        </w:rPr>
        <w:t xml:space="preserve">, kan </w:t>
      </w:r>
      <w:r w:rsidR="008B0771">
        <w:rPr>
          <w:rFonts w:ascii="Verdana" w:hAnsi="Verdana" w:cs="Arial"/>
          <w:bCs/>
        </w:rPr>
        <w:t xml:space="preserve">de ouder </w:t>
      </w:r>
      <w:r>
        <w:rPr>
          <w:rFonts w:ascii="Verdana" w:hAnsi="Verdana" w:cs="Arial"/>
          <w:bCs/>
        </w:rPr>
        <w:t>aanvullende compensatie krijgen</w:t>
      </w:r>
      <w:r w:rsidRPr="008904DE">
        <w:rPr>
          <w:rFonts w:ascii="Verdana" w:hAnsi="Verdana" w:cs="Arial"/>
          <w:bCs/>
        </w:rPr>
        <w:t xml:space="preserve">. </w:t>
      </w:r>
    </w:p>
    <w:p w:rsidR="001E6089" w:rsidRDefault="001E6089" w:rsidP="00587858">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bCs/>
        </w:rPr>
        <w:t xml:space="preserve">In het kalenderjaar na </w:t>
      </w:r>
      <w:r w:rsidR="00BE74BD">
        <w:rPr>
          <w:rFonts w:ascii="Verdana" w:hAnsi="Verdana" w:cs="Arial"/>
          <w:bCs/>
        </w:rPr>
        <w:t xml:space="preserve">het kalenderjaar waarin de vooraankondiging is ontvangen, </w:t>
      </w:r>
      <w:r>
        <w:rPr>
          <w:rFonts w:ascii="Verdana" w:hAnsi="Verdana" w:cs="Arial"/>
          <w:bCs/>
        </w:rPr>
        <w:t xml:space="preserve">wordt het bedrag </w:t>
      </w:r>
      <w:r w:rsidR="00BE74BD">
        <w:rPr>
          <w:rFonts w:ascii="Verdana" w:hAnsi="Verdana" w:cs="Arial"/>
          <w:bCs/>
        </w:rPr>
        <w:t xml:space="preserve">van de aanvullende compensatie </w:t>
      </w:r>
      <w:r>
        <w:rPr>
          <w:rFonts w:ascii="Verdana" w:hAnsi="Verdana" w:cs="Arial"/>
          <w:bCs/>
        </w:rPr>
        <w:t xml:space="preserve">vastgesteld op het bedrag aan toeslagen dat zou zijn verkregen als de ouder de compensatie niet zou ontvangen. </w:t>
      </w:r>
    </w:p>
    <w:p w:rsidR="00FB0411" w:rsidRPr="00FB0411" w:rsidRDefault="00FB0411" w:rsidP="00FB0411">
      <w:pPr>
        <w:widowControl/>
        <w:tabs>
          <w:tab w:val="left" w:pos="540"/>
          <w:tab w:val="left" w:pos="900"/>
          <w:tab w:val="left" w:pos="1080"/>
        </w:tabs>
        <w:spacing w:before="120" w:after="120" w:line="240" w:lineRule="auto"/>
        <w:outlineLvl w:val="0"/>
        <w:rPr>
          <w:rFonts w:ascii="Verdana" w:hAnsi="Verdana" w:cs="Arial"/>
          <w:b/>
          <w:bCs/>
          <w:i/>
        </w:rPr>
      </w:pPr>
      <w:r w:rsidRPr="00FB0411">
        <w:rPr>
          <w:rFonts w:ascii="Verdana" w:hAnsi="Verdana" w:cs="Arial"/>
          <w:b/>
          <w:bCs/>
          <w:i/>
        </w:rPr>
        <w:t>4.</w:t>
      </w:r>
      <w:r>
        <w:rPr>
          <w:rFonts w:ascii="Verdana" w:hAnsi="Verdana" w:cs="Arial"/>
          <w:b/>
          <w:bCs/>
          <w:i/>
        </w:rPr>
        <w:t xml:space="preserve">2 </w:t>
      </w:r>
      <w:r w:rsidRPr="00FB0411">
        <w:rPr>
          <w:rFonts w:ascii="Verdana" w:hAnsi="Verdana" w:cs="Arial"/>
          <w:b/>
          <w:bCs/>
          <w:i/>
        </w:rPr>
        <w:t>Procedure</w:t>
      </w:r>
    </w:p>
    <w:p w:rsidR="00FB0411" w:rsidRDefault="00FB0411" w:rsidP="00FB0411">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Voor de toekenning van aanvullende compensatie heeft de Belastingdienst</w:t>
      </w:r>
      <w:r w:rsidR="002F7997">
        <w:rPr>
          <w:rFonts w:ascii="Verdana" w:hAnsi="Verdana" w:cs="Arial"/>
        </w:rPr>
        <w:t>/Toeslagen</w:t>
      </w:r>
      <w:r>
        <w:rPr>
          <w:rFonts w:ascii="Verdana" w:hAnsi="Verdana" w:cs="Arial"/>
        </w:rPr>
        <w:t xml:space="preserve"> informatie nodig van de betreffende ouder. </w:t>
      </w:r>
      <w:r w:rsidR="002F7997">
        <w:rPr>
          <w:rFonts w:ascii="Verdana" w:hAnsi="Verdana" w:cs="Arial"/>
        </w:rPr>
        <w:t>De Belastingdienst/Toeslagen kan deze</w:t>
      </w:r>
      <w:r>
        <w:rPr>
          <w:rFonts w:ascii="Verdana" w:hAnsi="Verdana" w:cs="Arial"/>
        </w:rPr>
        <w:t xml:space="preserve"> aanvullende compensatie </w:t>
      </w:r>
      <w:r w:rsidR="002F7997">
        <w:rPr>
          <w:rFonts w:ascii="Verdana" w:hAnsi="Verdana" w:cs="Arial"/>
        </w:rPr>
        <w:t xml:space="preserve">dus niet </w:t>
      </w:r>
      <w:r w:rsidR="00192243">
        <w:rPr>
          <w:rFonts w:ascii="Verdana" w:hAnsi="Verdana" w:cs="Arial"/>
        </w:rPr>
        <w:t xml:space="preserve">ambtshalve </w:t>
      </w:r>
      <w:r w:rsidR="002F7997">
        <w:rPr>
          <w:rFonts w:ascii="Verdana" w:hAnsi="Verdana" w:cs="Arial"/>
        </w:rPr>
        <w:t>vast</w:t>
      </w:r>
      <w:r w:rsidR="00192243">
        <w:rPr>
          <w:rFonts w:ascii="Verdana" w:hAnsi="Verdana" w:cs="Arial"/>
        </w:rPr>
        <w:t xml:space="preserve">stellen en </w:t>
      </w:r>
      <w:r w:rsidR="002F7997">
        <w:rPr>
          <w:rFonts w:ascii="Verdana" w:hAnsi="Verdana" w:cs="Arial"/>
        </w:rPr>
        <w:t xml:space="preserve">daarom ook niet </w:t>
      </w:r>
      <w:r>
        <w:rPr>
          <w:rFonts w:ascii="Verdana" w:hAnsi="Verdana" w:cs="Arial"/>
        </w:rPr>
        <w:t>tegelijk uitbetalen met de compensatie, bedoeld in onderdeel 3.</w:t>
      </w:r>
    </w:p>
    <w:p w:rsidR="000D6D6C" w:rsidRDefault="00FB0411" w:rsidP="000D6D6C">
      <w:pPr>
        <w:widowControl/>
        <w:tabs>
          <w:tab w:val="left" w:pos="540"/>
          <w:tab w:val="left" w:pos="900"/>
          <w:tab w:val="left" w:pos="1080"/>
        </w:tabs>
        <w:spacing w:before="120" w:after="120" w:line="240" w:lineRule="auto"/>
        <w:outlineLvl w:val="0"/>
        <w:rPr>
          <w:rFonts w:ascii="Verdana" w:hAnsi="Verdana" w:cs="Arial"/>
          <w:bCs/>
        </w:rPr>
      </w:pPr>
      <w:r>
        <w:rPr>
          <w:rFonts w:ascii="Verdana" w:hAnsi="Verdana" w:cs="Arial"/>
        </w:rPr>
        <w:t xml:space="preserve">De ouder moet een aanvraag indienen bij de Belastingdienst/Toeslagen voor de van toepassing zijnde elementen van de aanvullende compensatie. </w:t>
      </w:r>
      <w:r w:rsidR="00490D51">
        <w:rPr>
          <w:rFonts w:ascii="Verdana" w:hAnsi="Verdana" w:cs="Arial"/>
        </w:rPr>
        <w:t>Hierbij</w:t>
      </w:r>
      <w:r>
        <w:rPr>
          <w:rFonts w:ascii="Verdana" w:hAnsi="Verdana" w:cs="Arial"/>
        </w:rPr>
        <w:t xml:space="preserve"> zal de ouder </w:t>
      </w:r>
      <w:r w:rsidR="005625F8">
        <w:rPr>
          <w:rFonts w:ascii="Verdana" w:hAnsi="Verdana" w:cs="Arial"/>
        </w:rPr>
        <w:t>aannemelijk</w:t>
      </w:r>
      <w:r>
        <w:rPr>
          <w:rFonts w:ascii="Verdana" w:hAnsi="Verdana" w:cs="Arial"/>
        </w:rPr>
        <w:t xml:space="preserve"> </w:t>
      </w:r>
      <w:r w:rsidR="00490D51">
        <w:rPr>
          <w:rFonts w:ascii="Verdana" w:hAnsi="Verdana" w:cs="Arial"/>
        </w:rPr>
        <w:t xml:space="preserve">moeten </w:t>
      </w:r>
      <w:r>
        <w:rPr>
          <w:rFonts w:ascii="Verdana" w:hAnsi="Verdana" w:cs="Arial"/>
        </w:rPr>
        <w:t xml:space="preserve">maken dat hij recht heeft op de aanvullende compensatie. </w:t>
      </w:r>
      <w:r w:rsidR="000D6D6C">
        <w:rPr>
          <w:rFonts w:ascii="Verdana" w:hAnsi="Verdana" w:cs="Arial"/>
        </w:rPr>
        <w:t xml:space="preserve">Vervolgens zal de Belastingdienst/Toeslagen een besluit met betrekking tot de aanvullende compensatie nemen. Dit besluit betreft een beschikking in de zin van de Awb. De ouder kan bezwaar maken bij de Belastingdienst/Toeslagen tegen </w:t>
      </w:r>
      <w:r w:rsidR="004C7429">
        <w:rPr>
          <w:rFonts w:ascii="Verdana" w:hAnsi="Verdana" w:cs="Arial"/>
        </w:rPr>
        <w:t>deze beschikking</w:t>
      </w:r>
      <w:r w:rsidR="000D6D6C">
        <w:rPr>
          <w:rFonts w:ascii="Verdana" w:hAnsi="Verdana" w:cs="Arial"/>
        </w:rPr>
        <w:t>. Een onafhankelijke bezwaarschriftenadviescommissie als bedoeld in artikel 7:13 Awb brengt advies uit over dit bezwaar.</w:t>
      </w:r>
      <w:r w:rsidR="000D6D6C" w:rsidRPr="00487E90">
        <w:rPr>
          <w:rFonts w:ascii="Verdana" w:hAnsi="Verdana" w:cs="Arial"/>
          <w:bCs/>
        </w:rPr>
        <w:t xml:space="preserve"> </w:t>
      </w:r>
    </w:p>
    <w:p w:rsidR="0023680B" w:rsidRDefault="0023680B" w:rsidP="005E67F1">
      <w:pPr>
        <w:widowControl/>
        <w:tabs>
          <w:tab w:val="left" w:pos="540"/>
          <w:tab w:val="left" w:pos="900"/>
          <w:tab w:val="left" w:pos="1080"/>
        </w:tabs>
        <w:spacing w:before="120" w:after="120" w:line="240" w:lineRule="auto"/>
        <w:outlineLvl w:val="0"/>
        <w:rPr>
          <w:rFonts w:ascii="Verdana" w:hAnsi="Verdana" w:cs="Arial"/>
          <w:b/>
        </w:rPr>
      </w:pPr>
    </w:p>
    <w:p w:rsidR="002C2107" w:rsidRPr="002C2107" w:rsidRDefault="002C2107" w:rsidP="002C2107">
      <w:pPr>
        <w:widowControl/>
        <w:tabs>
          <w:tab w:val="left" w:pos="540"/>
          <w:tab w:val="left" w:pos="900"/>
          <w:tab w:val="left" w:pos="1080"/>
        </w:tabs>
        <w:spacing w:before="120" w:after="120" w:line="240" w:lineRule="auto"/>
        <w:outlineLvl w:val="0"/>
        <w:rPr>
          <w:rFonts w:ascii="Verdana" w:hAnsi="Verdana" w:cs="Arial"/>
          <w:b/>
        </w:rPr>
      </w:pPr>
      <w:r>
        <w:rPr>
          <w:rFonts w:ascii="Verdana" w:hAnsi="Verdana" w:cs="Arial"/>
          <w:b/>
        </w:rPr>
        <w:lastRenderedPageBreak/>
        <w:t>5</w:t>
      </w:r>
      <w:r w:rsidRPr="002C2107">
        <w:rPr>
          <w:rFonts w:ascii="Verdana" w:hAnsi="Verdana" w:cs="Arial"/>
          <w:b/>
        </w:rPr>
        <w:t>.</w:t>
      </w:r>
      <w:r>
        <w:rPr>
          <w:rFonts w:ascii="Verdana" w:hAnsi="Verdana" w:cs="Arial"/>
          <w:b/>
        </w:rPr>
        <w:tab/>
      </w:r>
      <w:r w:rsidRPr="002C2107">
        <w:rPr>
          <w:rFonts w:ascii="Verdana" w:hAnsi="Verdana" w:cs="Arial"/>
          <w:b/>
        </w:rPr>
        <w:t>Vermindering van de (aanvullende) compensatie</w:t>
      </w:r>
    </w:p>
    <w:p w:rsidR="00DA0C9E" w:rsidRDefault="008C3953" w:rsidP="008D39A3">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Van de compensatie die aan de hand van de hiervoor gestelde elementen is berekend, moet in sommige gevallen nog een bedrag worden afgetrokken. Dit is o</w:t>
      </w:r>
      <w:r w:rsidR="002C2107">
        <w:rPr>
          <w:rFonts w:ascii="Verdana" w:hAnsi="Verdana" w:cs="Arial"/>
        </w:rPr>
        <w:t xml:space="preserve">m te voorkomen dat een ouder </w:t>
      </w:r>
      <w:r w:rsidR="00D4677D">
        <w:rPr>
          <w:rFonts w:ascii="Verdana" w:hAnsi="Verdana" w:cs="Arial"/>
        </w:rPr>
        <w:t>materieel</w:t>
      </w:r>
      <w:r w:rsidR="002C2107">
        <w:rPr>
          <w:rFonts w:ascii="Verdana" w:hAnsi="Verdana" w:cs="Arial"/>
        </w:rPr>
        <w:t xml:space="preserve"> meer kinderopvangtoeslag </w:t>
      </w:r>
      <w:r w:rsidR="00CB057C">
        <w:rPr>
          <w:rFonts w:ascii="Verdana" w:hAnsi="Verdana" w:cs="Arial"/>
        </w:rPr>
        <w:t xml:space="preserve">en compensatie </w:t>
      </w:r>
      <w:r w:rsidR="002C2107">
        <w:rPr>
          <w:rFonts w:ascii="Verdana" w:hAnsi="Verdana" w:cs="Arial"/>
        </w:rPr>
        <w:t>ontvangt dan waar hij recht op heeft</w:t>
      </w:r>
      <w:r>
        <w:rPr>
          <w:rFonts w:ascii="Verdana" w:hAnsi="Verdana" w:cs="Arial"/>
        </w:rPr>
        <w:t>.</w:t>
      </w:r>
      <w:r w:rsidR="008D39A3">
        <w:rPr>
          <w:rFonts w:ascii="Verdana" w:hAnsi="Verdana" w:cs="Arial"/>
        </w:rPr>
        <w:t xml:space="preserve"> </w:t>
      </w:r>
      <w:r>
        <w:rPr>
          <w:rFonts w:ascii="Verdana" w:hAnsi="Verdana" w:cs="Arial"/>
        </w:rPr>
        <w:t xml:space="preserve">De Belastingdienst/Toeslagen </w:t>
      </w:r>
      <w:r w:rsidR="008D39A3">
        <w:rPr>
          <w:rFonts w:ascii="Verdana" w:hAnsi="Verdana" w:cs="Arial"/>
        </w:rPr>
        <w:t xml:space="preserve">vermindert </w:t>
      </w:r>
      <w:r w:rsidR="002C2107">
        <w:rPr>
          <w:rFonts w:ascii="Verdana" w:hAnsi="Verdana" w:cs="Arial"/>
        </w:rPr>
        <w:t>de compensatie (zie onderdeel 3) en aanvullende compensatie (zie onderdeel 4)</w:t>
      </w:r>
      <w:r w:rsidR="002F7997">
        <w:rPr>
          <w:rFonts w:ascii="Verdana" w:hAnsi="Verdana" w:cs="Arial"/>
        </w:rPr>
        <w:t xml:space="preserve"> op de hierna beschreven wijze</w:t>
      </w:r>
      <w:r w:rsidR="00DA0C9E">
        <w:rPr>
          <w:rFonts w:ascii="Verdana" w:hAnsi="Verdana" w:cs="Arial"/>
        </w:rPr>
        <w:t>.</w:t>
      </w:r>
    </w:p>
    <w:p w:rsidR="00DA0C9E" w:rsidRDefault="00DA0C9E" w:rsidP="008D39A3">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De Belastingdienst/Toeslagen vermindert de compensatie als volgt:</w:t>
      </w:r>
    </w:p>
    <w:p w:rsidR="002C2107" w:rsidRPr="00871986" w:rsidRDefault="002C2107" w:rsidP="00871986">
      <w:pPr>
        <w:pStyle w:val="Lijstalinea"/>
        <w:widowControl/>
        <w:numPr>
          <w:ilvl w:val="0"/>
          <w:numId w:val="13"/>
        </w:numPr>
        <w:tabs>
          <w:tab w:val="left" w:pos="540"/>
          <w:tab w:val="left" w:pos="900"/>
          <w:tab w:val="left" w:pos="1080"/>
        </w:tabs>
        <w:spacing w:before="120" w:after="120" w:line="240" w:lineRule="auto"/>
        <w:outlineLvl w:val="0"/>
        <w:rPr>
          <w:rFonts w:ascii="Verdana" w:hAnsi="Verdana" w:cs="Arial"/>
        </w:rPr>
      </w:pPr>
      <w:r w:rsidRPr="008D39A3">
        <w:rPr>
          <w:rFonts w:ascii="Verdana" w:hAnsi="Verdana" w:cs="Arial"/>
        </w:rPr>
        <w:t xml:space="preserve">Als de ouder een terugvordering kinderopvangtoeslag over de </w:t>
      </w:r>
      <w:r w:rsidR="002F7997">
        <w:rPr>
          <w:rFonts w:ascii="Verdana" w:hAnsi="Verdana" w:cs="Arial"/>
        </w:rPr>
        <w:t>berekenings</w:t>
      </w:r>
      <w:r w:rsidR="002F7997" w:rsidRPr="008D39A3">
        <w:rPr>
          <w:rFonts w:ascii="Verdana" w:hAnsi="Verdana" w:cs="Arial"/>
        </w:rPr>
        <w:t xml:space="preserve">jaren </w:t>
      </w:r>
      <w:r w:rsidRPr="008D39A3">
        <w:rPr>
          <w:rFonts w:ascii="Verdana" w:hAnsi="Verdana" w:cs="Arial"/>
        </w:rPr>
        <w:t xml:space="preserve">2012, 2013 en/of 2014 niet (volledig) heeft betaald, vermindert de Belastingdienst/Toeslagen de compensatie met het </w:t>
      </w:r>
      <w:r w:rsidR="002F7997">
        <w:rPr>
          <w:rFonts w:ascii="Verdana" w:hAnsi="Verdana" w:cs="Arial"/>
        </w:rPr>
        <w:t xml:space="preserve">nog </w:t>
      </w:r>
      <w:r w:rsidR="00307639">
        <w:rPr>
          <w:rFonts w:ascii="Verdana" w:hAnsi="Verdana" w:cs="Arial"/>
        </w:rPr>
        <w:t>niet betaalde</w:t>
      </w:r>
      <w:r w:rsidR="00307639" w:rsidRPr="008D39A3">
        <w:rPr>
          <w:rFonts w:ascii="Verdana" w:hAnsi="Verdana" w:cs="Arial"/>
        </w:rPr>
        <w:t xml:space="preserve"> </w:t>
      </w:r>
      <w:r w:rsidRPr="008D39A3">
        <w:rPr>
          <w:rFonts w:ascii="Verdana" w:hAnsi="Verdana" w:cs="Arial"/>
        </w:rPr>
        <w:t>bedrag van de terugvordering</w:t>
      </w:r>
      <w:r w:rsidRPr="00812C93">
        <w:rPr>
          <w:rFonts w:ascii="Verdana" w:hAnsi="Verdana" w:cs="Arial"/>
        </w:rPr>
        <w:t>.</w:t>
      </w:r>
      <w:r w:rsidR="006A6B87">
        <w:rPr>
          <w:rFonts w:ascii="Verdana" w:hAnsi="Verdana" w:cs="Arial"/>
        </w:rPr>
        <w:t xml:space="preserve"> </w:t>
      </w:r>
      <w:r w:rsidR="00307639">
        <w:rPr>
          <w:rFonts w:ascii="Verdana" w:hAnsi="Verdana" w:cs="Arial"/>
        </w:rPr>
        <w:t>Dit geldt bijvoorbeeld ook in</w:t>
      </w:r>
      <w:r w:rsidR="006A6B87">
        <w:rPr>
          <w:rFonts w:ascii="Verdana" w:hAnsi="Verdana" w:cs="Arial"/>
        </w:rPr>
        <w:t xml:space="preserve"> de </w:t>
      </w:r>
      <w:r w:rsidR="006A6B87" w:rsidRPr="00871986">
        <w:rPr>
          <w:rFonts w:ascii="Verdana" w:hAnsi="Verdana" w:cs="Arial"/>
        </w:rPr>
        <w:t xml:space="preserve">situatie waarin </w:t>
      </w:r>
      <w:r w:rsidR="00F46212" w:rsidRPr="00871986">
        <w:rPr>
          <w:rFonts w:ascii="Verdana" w:hAnsi="Verdana" w:cs="Arial"/>
        </w:rPr>
        <w:t xml:space="preserve">de </w:t>
      </w:r>
      <w:r w:rsidR="0025635F" w:rsidRPr="00871986">
        <w:rPr>
          <w:rFonts w:ascii="Verdana" w:hAnsi="Verdana" w:cs="Arial"/>
        </w:rPr>
        <w:t>Belastingdienst/Toeslagen heeft toegezegd geen invorderingsmaatregelen te nemen voor de nog openstaande schuld</w:t>
      </w:r>
      <w:r w:rsidR="00307639" w:rsidRPr="00871986">
        <w:rPr>
          <w:rFonts w:ascii="Verdana" w:hAnsi="Verdana" w:cs="Arial"/>
        </w:rPr>
        <w:t xml:space="preserve"> (beschikking niet verder bemoeilijken)</w:t>
      </w:r>
      <w:r w:rsidR="006A6B87" w:rsidRPr="00871986">
        <w:rPr>
          <w:rFonts w:ascii="Verdana" w:hAnsi="Verdana" w:cs="Arial"/>
        </w:rPr>
        <w:t>.</w:t>
      </w:r>
      <w:r w:rsidR="00FA6859" w:rsidRPr="00871986">
        <w:rPr>
          <w:rFonts w:ascii="Verdana" w:hAnsi="Verdana" w:cs="Arial"/>
        </w:rPr>
        <w:t xml:space="preserve"> </w:t>
      </w:r>
      <w:r w:rsidR="00F46212" w:rsidRPr="00871986">
        <w:rPr>
          <w:rFonts w:ascii="Verdana" w:hAnsi="Verdana" w:cs="Arial"/>
        </w:rPr>
        <w:t>Het bedrag van de terugvordering</w:t>
      </w:r>
      <w:r w:rsidR="002F7997" w:rsidRPr="00871986">
        <w:rPr>
          <w:rFonts w:ascii="Verdana" w:hAnsi="Verdana" w:cs="Arial"/>
        </w:rPr>
        <w:t xml:space="preserve"> </w:t>
      </w:r>
      <w:r w:rsidR="00F46212" w:rsidRPr="00871986">
        <w:rPr>
          <w:rFonts w:ascii="Verdana" w:hAnsi="Verdana" w:cs="Arial"/>
        </w:rPr>
        <w:t xml:space="preserve">wordt afgeboekt </w:t>
      </w:r>
      <w:r w:rsidR="005741E5">
        <w:rPr>
          <w:rFonts w:ascii="Verdana" w:hAnsi="Verdana" w:cs="Arial"/>
        </w:rPr>
        <w:t>met</w:t>
      </w:r>
      <w:r w:rsidR="00283F4C" w:rsidRPr="00871986">
        <w:rPr>
          <w:rFonts w:ascii="Verdana" w:hAnsi="Verdana" w:cs="Arial"/>
        </w:rPr>
        <w:t xml:space="preserve"> </w:t>
      </w:r>
      <w:r w:rsidR="00F46212" w:rsidRPr="00871986">
        <w:rPr>
          <w:rFonts w:ascii="Verdana" w:hAnsi="Verdana" w:cs="Arial"/>
        </w:rPr>
        <w:t>het bedrag van de</w:t>
      </w:r>
      <w:r w:rsidR="005741E5">
        <w:rPr>
          <w:rFonts w:ascii="Verdana" w:hAnsi="Verdana" w:cs="Arial"/>
        </w:rPr>
        <w:t xml:space="preserve"> vermindering van de</w:t>
      </w:r>
      <w:r w:rsidR="00F46212" w:rsidRPr="00871986">
        <w:rPr>
          <w:rFonts w:ascii="Verdana" w:hAnsi="Verdana" w:cs="Arial"/>
        </w:rPr>
        <w:t xml:space="preserve"> </w:t>
      </w:r>
      <w:r w:rsidR="00283F4C" w:rsidRPr="00871986">
        <w:rPr>
          <w:rFonts w:ascii="Verdana" w:hAnsi="Verdana" w:cs="Arial"/>
        </w:rPr>
        <w:t>compensatie</w:t>
      </w:r>
      <w:r w:rsidR="00F46212" w:rsidRPr="00871986">
        <w:rPr>
          <w:rFonts w:ascii="Verdana" w:hAnsi="Verdana" w:cs="Arial"/>
        </w:rPr>
        <w:t xml:space="preserve">. </w:t>
      </w:r>
    </w:p>
    <w:p w:rsidR="00871986" w:rsidRPr="00871986" w:rsidRDefault="006A6B87" w:rsidP="00272B95">
      <w:pPr>
        <w:pStyle w:val="Lijstalinea"/>
        <w:widowControl/>
        <w:numPr>
          <w:ilvl w:val="0"/>
          <w:numId w:val="13"/>
        </w:numPr>
        <w:tabs>
          <w:tab w:val="left" w:pos="540"/>
          <w:tab w:val="left" w:pos="900"/>
          <w:tab w:val="left" w:pos="1080"/>
        </w:tabs>
        <w:spacing w:before="120" w:after="120" w:line="240" w:lineRule="auto"/>
        <w:outlineLvl w:val="0"/>
        <w:rPr>
          <w:rFonts w:ascii="Verdana" w:hAnsi="Verdana"/>
          <w:color w:val="000000"/>
        </w:rPr>
      </w:pPr>
      <w:r w:rsidRPr="00871986">
        <w:rPr>
          <w:rFonts w:ascii="Verdana" w:hAnsi="Verdana" w:cs="Arial"/>
        </w:rPr>
        <w:t xml:space="preserve">Als na een neerwaartse correctiebeschikking de ouder in bezwaar en beroep is gegaan en </w:t>
      </w:r>
      <w:r w:rsidR="00283F4C" w:rsidRPr="00871986">
        <w:rPr>
          <w:rFonts w:ascii="Verdana" w:hAnsi="Verdana" w:cs="Arial"/>
        </w:rPr>
        <w:t xml:space="preserve">hij </w:t>
      </w:r>
      <w:r w:rsidRPr="00871986">
        <w:rPr>
          <w:rFonts w:ascii="Verdana" w:hAnsi="Verdana" w:cs="Arial"/>
        </w:rPr>
        <w:t>daardoor een opwaartse correctiebeschikking heeft ontvangen, vermindert de Belastingdienst/Toeslagen de compensatie met het verschil tussen deze twee beschikkingen.</w:t>
      </w:r>
      <w:r w:rsidR="00192243" w:rsidRPr="00871986">
        <w:rPr>
          <w:rFonts w:ascii="Verdana" w:hAnsi="Verdana" w:cs="Arial"/>
        </w:rPr>
        <w:t xml:space="preserve"> Hetzelfde geldt voor de situatie waarin de ouder een nieuwe </w:t>
      </w:r>
      <w:r w:rsidR="00CA1972" w:rsidRPr="00871986">
        <w:rPr>
          <w:rFonts w:ascii="Verdana" w:hAnsi="Verdana" w:cs="Arial"/>
        </w:rPr>
        <w:t>toekenning</w:t>
      </w:r>
      <w:r w:rsidR="00192243" w:rsidRPr="00871986">
        <w:rPr>
          <w:rFonts w:ascii="Verdana" w:hAnsi="Verdana" w:cs="Arial"/>
        </w:rPr>
        <w:t xml:space="preserve"> </w:t>
      </w:r>
      <w:r w:rsidR="005741E5">
        <w:rPr>
          <w:rFonts w:ascii="Verdana" w:hAnsi="Verdana" w:cs="Arial"/>
        </w:rPr>
        <w:t xml:space="preserve">tot een hoger bedrag </w:t>
      </w:r>
      <w:r w:rsidR="00192243" w:rsidRPr="00871986">
        <w:rPr>
          <w:rFonts w:ascii="Verdana" w:hAnsi="Verdana" w:cs="Arial"/>
        </w:rPr>
        <w:t>heeft gekregen.</w:t>
      </w:r>
    </w:p>
    <w:p w:rsidR="00871986" w:rsidRPr="00871986" w:rsidRDefault="00192243" w:rsidP="00C91A6A">
      <w:pPr>
        <w:pStyle w:val="Lijstalinea"/>
        <w:widowControl/>
        <w:numPr>
          <w:ilvl w:val="0"/>
          <w:numId w:val="13"/>
        </w:numPr>
        <w:tabs>
          <w:tab w:val="left" w:pos="540"/>
          <w:tab w:val="left" w:pos="900"/>
          <w:tab w:val="left" w:pos="1080"/>
        </w:tabs>
        <w:spacing w:before="120" w:after="120" w:line="240" w:lineRule="auto"/>
        <w:outlineLvl w:val="0"/>
        <w:rPr>
          <w:rFonts w:ascii="Verdana" w:hAnsi="Verdana"/>
          <w:color w:val="1F497D"/>
        </w:rPr>
      </w:pPr>
      <w:r w:rsidRPr="00871986">
        <w:rPr>
          <w:rFonts w:ascii="Verdana" w:hAnsi="Verdana" w:cs="Arial"/>
        </w:rPr>
        <w:t xml:space="preserve">Er zijn situaties waarin nog geen definitieve beschikking kinderopvangtoeslag over de </w:t>
      </w:r>
      <w:r w:rsidR="002F7997" w:rsidRPr="00871986">
        <w:rPr>
          <w:rFonts w:ascii="Verdana" w:hAnsi="Verdana" w:cs="Arial"/>
        </w:rPr>
        <w:t xml:space="preserve">berekeningsjaren </w:t>
      </w:r>
      <w:r w:rsidRPr="00871986">
        <w:rPr>
          <w:rFonts w:ascii="Verdana" w:hAnsi="Verdana" w:cs="Arial"/>
        </w:rPr>
        <w:t xml:space="preserve">2012, 2013 en/of 2014 is </w:t>
      </w:r>
      <w:r w:rsidR="00283F4C" w:rsidRPr="00871986">
        <w:rPr>
          <w:rFonts w:ascii="Verdana" w:hAnsi="Verdana" w:cs="Arial"/>
        </w:rPr>
        <w:t xml:space="preserve">afgegeven </w:t>
      </w:r>
      <w:r w:rsidRPr="00871986">
        <w:rPr>
          <w:rFonts w:ascii="Verdana" w:hAnsi="Verdana" w:cs="Arial"/>
        </w:rPr>
        <w:t xml:space="preserve">op het moment waarop de compensatie is vastgesteld. Als de Belastingdienst/Toeslagen de definitieve beschikking kinderopvangtoeslag op een hoger bedrag vaststelt dan waarmee bij de bepaling van de compensatie voor correctiebesluiten rekening is gehouden, wordt het bedrag van de compensatie op basis van dit besluit alsnog met dat verschil verminderd. </w:t>
      </w:r>
      <w:r w:rsidR="00871986" w:rsidRPr="00871986">
        <w:rPr>
          <w:rFonts w:ascii="Verdana" w:hAnsi="Verdana"/>
        </w:rPr>
        <w:t>De te compenseren invorderingsrente wordt verminderd met de rente die ten aanzien van de kinderopvangtoeslag voor hetzelfde berekeningsjaar wordt vergoed ingevolge art. 27 Awir. Indien achteraf blijkt dat de compensatie op grond van het voorgaande tot een te hoog bedrag is uitbetaald, kan dat bedrag worden verrekend met aan belanghebbende uit te betalen bedragen op grond van de Awir</w:t>
      </w:r>
      <w:r w:rsidR="00871986" w:rsidRPr="00871986">
        <w:rPr>
          <w:rFonts w:ascii="Verdana" w:hAnsi="Verdana"/>
          <w:color w:val="000000"/>
        </w:rPr>
        <w:t xml:space="preserve">. </w:t>
      </w:r>
      <w:r w:rsidR="00871986" w:rsidRPr="00871986">
        <w:rPr>
          <w:rFonts w:ascii="Verdana" w:hAnsi="Verdana"/>
          <w:color w:val="1F497D"/>
        </w:rPr>
        <w:t>   </w:t>
      </w:r>
    </w:p>
    <w:p w:rsidR="008D39A3" w:rsidRDefault="00DA0C9E" w:rsidP="008D39A3">
      <w:pPr>
        <w:widowControl/>
        <w:tabs>
          <w:tab w:val="left" w:pos="540"/>
          <w:tab w:val="left" w:pos="900"/>
          <w:tab w:val="left" w:pos="1080"/>
        </w:tabs>
        <w:spacing w:before="120" w:after="120" w:line="240" w:lineRule="auto"/>
        <w:outlineLvl w:val="0"/>
        <w:rPr>
          <w:rFonts w:ascii="Verdana" w:hAnsi="Verdana" w:cs="Arial"/>
        </w:rPr>
      </w:pPr>
      <w:r w:rsidRPr="00DA0C9E">
        <w:rPr>
          <w:rFonts w:ascii="Verdana" w:hAnsi="Verdana" w:cs="Arial"/>
        </w:rPr>
        <w:t xml:space="preserve">De Belastingdienst/Toeslagen vermindert de compensatie </w:t>
      </w:r>
      <w:r w:rsidR="00CA1972">
        <w:rPr>
          <w:rFonts w:ascii="Verdana" w:hAnsi="Verdana" w:cs="Arial"/>
        </w:rPr>
        <w:t xml:space="preserve">voor gevolgschade voor toeslagen </w:t>
      </w:r>
      <w:r w:rsidRPr="00DA0C9E">
        <w:rPr>
          <w:rFonts w:ascii="Verdana" w:hAnsi="Verdana" w:cs="Arial"/>
        </w:rPr>
        <w:t xml:space="preserve">met het openstaande bedrag van de terugvordering van </w:t>
      </w:r>
      <w:r>
        <w:rPr>
          <w:rFonts w:ascii="Verdana" w:hAnsi="Verdana" w:cs="Arial"/>
        </w:rPr>
        <w:t xml:space="preserve">de toeslagen </w:t>
      </w:r>
      <w:r w:rsidR="00CA1972">
        <w:rPr>
          <w:rFonts w:ascii="Verdana" w:hAnsi="Verdana" w:cs="Arial"/>
        </w:rPr>
        <w:t xml:space="preserve">waarop de </w:t>
      </w:r>
      <w:r>
        <w:rPr>
          <w:rFonts w:ascii="Verdana" w:hAnsi="Verdana" w:cs="Arial"/>
        </w:rPr>
        <w:t xml:space="preserve">aanvullende compensatie </w:t>
      </w:r>
      <w:r w:rsidR="00283F4C">
        <w:rPr>
          <w:rFonts w:ascii="Verdana" w:hAnsi="Verdana" w:cs="Arial"/>
        </w:rPr>
        <w:t>betrekking heeft</w:t>
      </w:r>
      <w:r>
        <w:rPr>
          <w:rFonts w:ascii="Verdana" w:hAnsi="Verdana" w:cs="Arial"/>
        </w:rPr>
        <w:t xml:space="preserve">. </w:t>
      </w:r>
      <w:r w:rsidR="003979D5">
        <w:rPr>
          <w:rFonts w:ascii="Verdana" w:hAnsi="Verdana" w:cs="Arial"/>
        </w:rPr>
        <w:t xml:space="preserve">Het bedrag van de </w:t>
      </w:r>
      <w:r w:rsidR="00F46212">
        <w:rPr>
          <w:rFonts w:ascii="Verdana" w:hAnsi="Verdana" w:cs="Arial"/>
        </w:rPr>
        <w:t xml:space="preserve">terugvordering wordt afgeboekt met het bedrag van de </w:t>
      </w:r>
      <w:r w:rsidR="003979D5">
        <w:rPr>
          <w:rFonts w:ascii="Verdana" w:hAnsi="Verdana" w:cs="Arial"/>
        </w:rPr>
        <w:t>vermindering</w:t>
      </w:r>
      <w:r w:rsidR="008D39A3">
        <w:rPr>
          <w:rFonts w:ascii="Verdana" w:hAnsi="Verdana" w:cs="Arial"/>
        </w:rPr>
        <w:t>.</w:t>
      </w:r>
      <w:r w:rsidR="003979D5">
        <w:rPr>
          <w:rFonts w:ascii="Verdana" w:hAnsi="Verdana" w:cs="Arial"/>
        </w:rPr>
        <w:t xml:space="preserve"> </w:t>
      </w:r>
    </w:p>
    <w:p w:rsidR="008D39A3" w:rsidRPr="008D39A3" w:rsidRDefault="008D39A3" w:rsidP="008D39A3">
      <w:pPr>
        <w:widowControl/>
        <w:tabs>
          <w:tab w:val="left" w:pos="540"/>
          <w:tab w:val="left" w:pos="900"/>
          <w:tab w:val="left" w:pos="1080"/>
        </w:tabs>
        <w:spacing w:before="120" w:after="120" w:line="240" w:lineRule="auto"/>
        <w:outlineLvl w:val="0"/>
        <w:rPr>
          <w:rFonts w:ascii="Verdana" w:hAnsi="Verdana" w:cs="Arial"/>
        </w:rPr>
      </w:pPr>
      <w:r w:rsidRPr="00F46212">
        <w:rPr>
          <w:rFonts w:ascii="Verdana" w:hAnsi="Verdana" w:cs="Arial"/>
        </w:rPr>
        <w:t xml:space="preserve">De Belastingdienst/Toeslagen verrekent de compensatie en de aanvullende compensatie niet met andere openstaande </w:t>
      </w:r>
      <w:r w:rsidR="00283F4C">
        <w:rPr>
          <w:rFonts w:ascii="Verdana" w:hAnsi="Verdana" w:cs="Arial"/>
        </w:rPr>
        <w:t>terug</w:t>
      </w:r>
      <w:r w:rsidRPr="00F46212">
        <w:rPr>
          <w:rFonts w:ascii="Verdana" w:hAnsi="Verdana" w:cs="Arial"/>
        </w:rPr>
        <w:t xml:space="preserve">vorderingen </w:t>
      </w:r>
      <w:r w:rsidR="00283F4C">
        <w:rPr>
          <w:rFonts w:ascii="Verdana" w:hAnsi="Verdana" w:cs="Arial"/>
        </w:rPr>
        <w:t>of met</w:t>
      </w:r>
      <w:r w:rsidR="00283F4C" w:rsidRPr="00F46212">
        <w:rPr>
          <w:rFonts w:ascii="Verdana" w:hAnsi="Verdana" w:cs="Arial"/>
        </w:rPr>
        <w:t xml:space="preserve"> belasting</w:t>
      </w:r>
      <w:r w:rsidR="00283F4C">
        <w:rPr>
          <w:rFonts w:ascii="Verdana" w:hAnsi="Verdana" w:cs="Arial"/>
        </w:rPr>
        <w:t>schulden</w:t>
      </w:r>
      <w:r w:rsidRPr="00F46212">
        <w:rPr>
          <w:rFonts w:ascii="Verdana" w:hAnsi="Verdana" w:cs="Arial"/>
        </w:rPr>
        <w:t>.</w:t>
      </w:r>
      <w:r>
        <w:rPr>
          <w:rFonts w:ascii="Verdana" w:hAnsi="Verdana" w:cs="Arial"/>
        </w:rPr>
        <w:t xml:space="preserve"> </w:t>
      </w:r>
    </w:p>
    <w:p w:rsidR="002C2107" w:rsidRPr="002C2107" w:rsidRDefault="002C2107" w:rsidP="00AE64DB">
      <w:pPr>
        <w:widowControl/>
        <w:tabs>
          <w:tab w:val="left" w:pos="540"/>
          <w:tab w:val="left" w:pos="900"/>
          <w:tab w:val="left" w:pos="1080"/>
        </w:tabs>
        <w:spacing w:before="120" w:after="120" w:line="240" w:lineRule="auto"/>
        <w:outlineLvl w:val="0"/>
        <w:rPr>
          <w:rFonts w:ascii="Verdana" w:hAnsi="Verdana" w:cs="Arial"/>
        </w:rPr>
      </w:pPr>
    </w:p>
    <w:p w:rsidR="002C2107" w:rsidRPr="002C2107" w:rsidRDefault="002C2107" w:rsidP="002C2107">
      <w:pPr>
        <w:widowControl/>
        <w:tabs>
          <w:tab w:val="left" w:pos="540"/>
          <w:tab w:val="left" w:pos="900"/>
          <w:tab w:val="left" w:pos="1080"/>
        </w:tabs>
        <w:spacing w:before="120" w:after="120" w:line="240" w:lineRule="auto"/>
        <w:outlineLvl w:val="0"/>
        <w:rPr>
          <w:rFonts w:ascii="Verdana" w:hAnsi="Verdana" w:cs="Arial"/>
          <w:b/>
        </w:rPr>
      </w:pPr>
      <w:r w:rsidRPr="00812C93">
        <w:rPr>
          <w:rFonts w:ascii="Verdana" w:hAnsi="Verdana" w:cs="Arial"/>
          <w:b/>
        </w:rPr>
        <w:t xml:space="preserve">6. </w:t>
      </w:r>
      <w:r w:rsidRPr="00812C93">
        <w:rPr>
          <w:rFonts w:ascii="Verdana" w:hAnsi="Verdana" w:cs="Arial"/>
          <w:b/>
        </w:rPr>
        <w:tab/>
      </w:r>
      <w:r w:rsidR="00E60DC7" w:rsidRPr="00812C93">
        <w:rPr>
          <w:rFonts w:ascii="Verdana" w:hAnsi="Verdana" w:cs="Arial"/>
          <w:b/>
        </w:rPr>
        <w:t>Gevolgen voor de inkomstenbelasting en de toeslagen</w:t>
      </w:r>
      <w:r w:rsidR="00636326">
        <w:rPr>
          <w:rFonts w:ascii="Verdana" w:hAnsi="Verdana" w:cs="Arial"/>
          <w:b/>
        </w:rPr>
        <w:t xml:space="preserve"> </w:t>
      </w:r>
    </w:p>
    <w:p w:rsidR="00FC3682" w:rsidRDefault="005625F8"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compensatie en </w:t>
      </w:r>
      <w:r w:rsidR="00DD0D9F">
        <w:rPr>
          <w:rFonts w:ascii="Verdana" w:hAnsi="Verdana" w:cs="Arial"/>
        </w:rPr>
        <w:t xml:space="preserve">de </w:t>
      </w:r>
      <w:r>
        <w:rPr>
          <w:rFonts w:ascii="Verdana" w:hAnsi="Verdana" w:cs="Arial"/>
        </w:rPr>
        <w:t xml:space="preserve">aanvullende compensatie vormen geen inkomen uit werk en woning in de zin van de Wet IB 2001. </w:t>
      </w:r>
      <w:r w:rsidR="00E40503">
        <w:rPr>
          <w:rFonts w:ascii="Verdana" w:hAnsi="Verdana" w:cs="Arial"/>
        </w:rPr>
        <w:t xml:space="preserve">De </w:t>
      </w:r>
      <w:r w:rsidR="005D0A4C">
        <w:rPr>
          <w:rFonts w:ascii="Verdana" w:hAnsi="Verdana" w:cs="Arial"/>
        </w:rPr>
        <w:t xml:space="preserve">compensatie </w:t>
      </w:r>
      <w:r w:rsidR="009968DC">
        <w:rPr>
          <w:rFonts w:ascii="Verdana" w:hAnsi="Verdana" w:cs="Arial"/>
        </w:rPr>
        <w:t xml:space="preserve">en de aanvullende </w:t>
      </w:r>
      <w:r w:rsidR="005D0A4C">
        <w:rPr>
          <w:rFonts w:ascii="Verdana" w:hAnsi="Verdana" w:cs="Arial"/>
        </w:rPr>
        <w:t xml:space="preserve">compensatie </w:t>
      </w:r>
      <w:r w:rsidR="009968DC">
        <w:rPr>
          <w:rFonts w:ascii="Verdana" w:hAnsi="Verdana" w:cs="Arial"/>
        </w:rPr>
        <w:t>vinden</w:t>
      </w:r>
      <w:r w:rsidR="00E40503">
        <w:rPr>
          <w:rFonts w:ascii="Verdana" w:hAnsi="Verdana" w:cs="Arial"/>
        </w:rPr>
        <w:t xml:space="preserve"> </w:t>
      </w:r>
      <w:r>
        <w:rPr>
          <w:rFonts w:ascii="Verdana" w:hAnsi="Verdana" w:cs="Arial"/>
        </w:rPr>
        <w:t xml:space="preserve">namelijk </w:t>
      </w:r>
      <w:r w:rsidR="00E40503">
        <w:rPr>
          <w:rFonts w:ascii="Verdana" w:hAnsi="Verdana" w:cs="Arial"/>
        </w:rPr>
        <w:t xml:space="preserve">niet </w:t>
      </w:r>
      <w:r w:rsidR="009968DC">
        <w:rPr>
          <w:rFonts w:ascii="Verdana" w:hAnsi="Verdana" w:cs="Arial"/>
        </w:rPr>
        <w:t>hun</w:t>
      </w:r>
      <w:r w:rsidR="00E40503">
        <w:rPr>
          <w:rFonts w:ascii="Verdana" w:hAnsi="Verdana" w:cs="Arial"/>
        </w:rPr>
        <w:t xml:space="preserve"> grond in een bron van inkomen</w:t>
      </w:r>
      <w:r>
        <w:rPr>
          <w:rFonts w:ascii="Verdana" w:hAnsi="Verdana" w:cs="Arial"/>
        </w:rPr>
        <w:t>.</w:t>
      </w:r>
      <w:r w:rsidR="00E40503">
        <w:rPr>
          <w:rFonts w:ascii="Verdana" w:hAnsi="Verdana" w:cs="Arial"/>
        </w:rPr>
        <w:t xml:space="preserve"> </w:t>
      </w:r>
    </w:p>
    <w:p w:rsidR="00F421BE" w:rsidRDefault="005C24FC" w:rsidP="0018680A">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N</w:t>
      </w:r>
      <w:r w:rsidR="00640BFC">
        <w:rPr>
          <w:rFonts w:ascii="Verdana" w:hAnsi="Verdana" w:cs="Arial"/>
        </w:rPr>
        <w:t xml:space="preserve">adat </w:t>
      </w:r>
      <w:r w:rsidR="00FE6DD1">
        <w:rPr>
          <w:rFonts w:ascii="Verdana" w:hAnsi="Verdana" w:cs="Arial"/>
        </w:rPr>
        <w:t xml:space="preserve">de ouder </w:t>
      </w:r>
      <w:r w:rsidR="00640BFC">
        <w:rPr>
          <w:rFonts w:ascii="Verdana" w:hAnsi="Verdana" w:cs="Arial"/>
        </w:rPr>
        <w:t xml:space="preserve">de </w:t>
      </w:r>
      <w:r w:rsidR="00283F4C">
        <w:rPr>
          <w:rFonts w:ascii="Verdana" w:hAnsi="Verdana" w:cs="Arial"/>
        </w:rPr>
        <w:t xml:space="preserve">vooraankondiging met betrekking tot </w:t>
      </w:r>
      <w:r w:rsidR="00F421BE">
        <w:rPr>
          <w:rFonts w:ascii="Verdana" w:hAnsi="Verdana" w:cs="Arial"/>
        </w:rPr>
        <w:t>het bedrag aan</w:t>
      </w:r>
      <w:r w:rsidR="00283F4C">
        <w:rPr>
          <w:rFonts w:ascii="Verdana" w:hAnsi="Verdana" w:cs="Arial"/>
        </w:rPr>
        <w:t xml:space="preserve"> </w:t>
      </w:r>
      <w:r w:rsidR="007939BB">
        <w:rPr>
          <w:rFonts w:ascii="Verdana" w:hAnsi="Verdana" w:cs="Arial"/>
        </w:rPr>
        <w:t xml:space="preserve">compensatie </w:t>
      </w:r>
      <w:r w:rsidR="00DD0D9F">
        <w:rPr>
          <w:rFonts w:ascii="Verdana" w:hAnsi="Verdana" w:cs="Arial"/>
        </w:rPr>
        <w:t>heeft</w:t>
      </w:r>
      <w:r w:rsidR="00283F4C">
        <w:rPr>
          <w:rFonts w:ascii="Verdana" w:hAnsi="Verdana" w:cs="Arial"/>
        </w:rPr>
        <w:t xml:space="preserve"> ontvangen</w:t>
      </w:r>
      <w:r w:rsidR="00640BFC">
        <w:rPr>
          <w:rFonts w:ascii="Verdana" w:hAnsi="Verdana" w:cs="Arial"/>
        </w:rPr>
        <w:t xml:space="preserve">, </w:t>
      </w:r>
      <w:r>
        <w:rPr>
          <w:rFonts w:ascii="Verdana" w:hAnsi="Verdana" w:cs="Arial"/>
        </w:rPr>
        <w:t xml:space="preserve">maakt </w:t>
      </w:r>
      <w:r w:rsidR="00F421BE">
        <w:rPr>
          <w:rFonts w:ascii="Verdana" w:hAnsi="Verdana" w:cs="Arial"/>
        </w:rPr>
        <w:t xml:space="preserve">dit bedrag voor de vermogensrendementsheffing (box 3) deel uit van de bezittingen van de ouder. </w:t>
      </w:r>
      <w:r w:rsidR="00DD0D9F">
        <w:rPr>
          <w:rFonts w:ascii="Verdana" w:hAnsi="Verdana" w:cs="Arial"/>
        </w:rPr>
        <w:t xml:space="preserve">Het voordeel uit sparen en beleggen ter zake van het vermogen wordt </w:t>
      </w:r>
      <w:r w:rsidR="00BE4976">
        <w:rPr>
          <w:rFonts w:ascii="Verdana" w:hAnsi="Verdana" w:cs="Arial"/>
        </w:rPr>
        <w:t>volgens</w:t>
      </w:r>
      <w:r w:rsidR="005D0A4C">
        <w:rPr>
          <w:rFonts w:ascii="Verdana" w:hAnsi="Verdana" w:cs="Arial"/>
        </w:rPr>
        <w:t xml:space="preserve"> de wettelijke kaders</w:t>
      </w:r>
      <w:r w:rsidR="002B39C3">
        <w:rPr>
          <w:rFonts w:ascii="Verdana" w:hAnsi="Verdana" w:cs="Arial"/>
        </w:rPr>
        <w:t xml:space="preserve"> </w:t>
      </w:r>
      <w:r w:rsidR="00640BFC">
        <w:rPr>
          <w:rFonts w:ascii="Verdana" w:hAnsi="Verdana" w:cs="Arial"/>
        </w:rPr>
        <w:t xml:space="preserve">in de </w:t>
      </w:r>
      <w:r w:rsidR="00845612">
        <w:rPr>
          <w:rFonts w:ascii="Verdana" w:hAnsi="Verdana" w:cs="Arial"/>
        </w:rPr>
        <w:t xml:space="preserve">vermogensrendementsheffing </w:t>
      </w:r>
      <w:r w:rsidR="00640BFC">
        <w:rPr>
          <w:rFonts w:ascii="Verdana" w:hAnsi="Verdana" w:cs="Arial"/>
        </w:rPr>
        <w:t>betrokken.</w:t>
      </w:r>
      <w:r w:rsidR="00DD0D9F">
        <w:rPr>
          <w:rFonts w:ascii="Verdana" w:hAnsi="Verdana" w:cs="Arial"/>
        </w:rPr>
        <w:t xml:space="preserve"> Hetzelfde geldt voor de aanvullende compensatie.</w:t>
      </w:r>
    </w:p>
    <w:p w:rsidR="00FB0411" w:rsidRDefault="00DD0D9F" w:rsidP="00752F99">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De compensatie en </w:t>
      </w:r>
      <w:r w:rsidR="00FE6DD1">
        <w:rPr>
          <w:rFonts w:ascii="Verdana" w:hAnsi="Verdana" w:cs="Arial"/>
        </w:rPr>
        <w:t xml:space="preserve">de </w:t>
      </w:r>
      <w:r>
        <w:rPr>
          <w:rFonts w:ascii="Verdana" w:hAnsi="Verdana" w:cs="Arial"/>
        </w:rPr>
        <w:t>aanvullende compensatie kunnen als gevolg van de mogelijk hogere rendementsgrondslag ook gevolgen hebben voor de zorgtoeslag, de huurtoeslag en het kindgebo</w:t>
      </w:r>
      <w:r w:rsidR="00FE6DD1">
        <w:rPr>
          <w:rFonts w:ascii="Verdana" w:hAnsi="Verdana" w:cs="Arial"/>
        </w:rPr>
        <w:t>n</w:t>
      </w:r>
      <w:r>
        <w:rPr>
          <w:rFonts w:ascii="Verdana" w:hAnsi="Verdana" w:cs="Arial"/>
        </w:rPr>
        <w:t>den budget.</w:t>
      </w:r>
      <w:r w:rsidR="00FE6DD1">
        <w:rPr>
          <w:rFonts w:ascii="Verdana" w:hAnsi="Verdana" w:cs="Arial"/>
        </w:rPr>
        <w:t xml:space="preserve"> </w:t>
      </w:r>
      <w:r w:rsidR="005741E5">
        <w:rPr>
          <w:rFonts w:ascii="Verdana" w:hAnsi="Verdana" w:cs="Arial"/>
        </w:rPr>
        <w:t xml:space="preserve">Bij overschrijding </w:t>
      </w:r>
      <w:r w:rsidR="005741E5">
        <w:rPr>
          <w:rFonts w:ascii="Verdana" w:hAnsi="Verdana" w:cs="Arial"/>
        </w:rPr>
        <w:lastRenderedPageBreak/>
        <w:t>van een vermogensgrens in</w:t>
      </w:r>
      <w:r w:rsidR="00FE6DD1">
        <w:rPr>
          <w:rFonts w:ascii="Verdana" w:hAnsi="Verdana" w:cs="Arial"/>
        </w:rPr>
        <w:t xml:space="preserve"> het kalenderjaar na het kalenderjaar waarin de vooraankondiging met betrekking tot de compensatie is ontvangen, wordt een eenmalige aanvullende compensatie toegekend (onderdeel 4.2). </w:t>
      </w:r>
    </w:p>
    <w:p w:rsidR="00E85870" w:rsidRDefault="00E85870" w:rsidP="00752F99">
      <w:pPr>
        <w:widowControl/>
        <w:tabs>
          <w:tab w:val="left" w:pos="540"/>
          <w:tab w:val="left" w:pos="900"/>
          <w:tab w:val="left" w:pos="1080"/>
        </w:tabs>
        <w:spacing w:before="120" w:after="120" w:line="240" w:lineRule="auto"/>
        <w:outlineLvl w:val="0"/>
        <w:rPr>
          <w:rFonts w:ascii="Verdana" w:hAnsi="Verdana" w:cs="Arial"/>
        </w:rPr>
      </w:pPr>
    </w:p>
    <w:p w:rsidR="00E85870" w:rsidRPr="00E85870" w:rsidRDefault="00E85870" w:rsidP="00E85870">
      <w:pPr>
        <w:widowControl/>
        <w:tabs>
          <w:tab w:val="left" w:pos="540"/>
          <w:tab w:val="left" w:pos="900"/>
          <w:tab w:val="left" w:pos="1080"/>
        </w:tabs>
        <w:spacing w:before="120" w:after="120" w:line="240" w:lineRule="auto"/>
        <w:outlineLvl w:val="0"/>
        <w:rPr>
          <w:rFonts w:ascii="Verdana" w:hAnsi="Verdana" w:cs="Arial"/>
          <w:b/>
        </w:rPr>
      </w:pPr>
      <w:r w:rsidRPr="00E85870">
        <w:rPr>
          <w:rFonts w:ascii="Verdana" w:hAnsi="Verdana" w:cs="Arial"/>
          <w:b/>
        </w:rPr>
        <w:t>7.</w:t>
      </w:r>
      <w:r>
        <w:rPr>
          <w:rFonts w:ascii="Verdana" w:hAnsi="Verdana" w:cs="Arial"/>
          <w:b/>
        </w:rPr>
        <w:t xml:space="preserve"> </w:t>
      </w:r>
      <w:r>
        <w:rPr>
          <w:rFonts w:ascii="Verdana" w:hAnsi="Verdana" w:cs="Arial"/>
          <w:b/>
        </w:rPr>
        <w:tab/>
        <w:t xml:space="preserve">Extra compensatie </w:t>
      </w:r>
    </w:p>
    <w:p w:rsidR="004808CE" w:rsidRDefault="004808CE" w:rsidP="00752F99">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Ter compensatie voor de mogelijk hogere vermogensrendementsheffing </w:t>
      </w:r>
      <w:r w:rsidR="005741E5">
        <w:rPr>
          <w:rFonts w:ascii="Verdana" w:hAnsi="Verdana" w:cs="Arial"/>
        </w:rPr>
        <w:t xml:space="preserve">en een eventueel daaruit voortvloeiende afbouw van inkomensafhankelijke toeslagen, </w:t>
      </w:r>
      <w:r>
        <w:rPr>
          <w:rFonts w:ascii="Verdana" w:hAnsi="Verdana" w:cs="Arial"/>
        </w:rPr>
        <w:t xml:space="preserve">wordt een extra forfaitaire compensatie toegekend. De ouder krijgt </w:t>
      </w:r>
      <w:r w:rsidR="00FB1DF8">
        <w:rPr>
          <w:rFonts w:ascii="Verdana" w:hAnsi="Verdana" w:cs="Arial"/>
        </w:rPr>
        <w:t>1</w:t>
      </w:r>
      <w:r>
        <w:rPr>
          <w:rFonts w:ascii="Verdana" w:hAnsi="Verdana" w:cs="Arial"/>
        </w:rPr>
        <w:t xml:space="preserve">% over het bedrag van de compensatie (onderdeel 3) minus de verminderingen (onderdeel 5). </w:t>
      </w:r>
      <w:r w:rsidR="00BA1559">
        <w:rPr>
          <w:rFonts w:ascii="Verdana" w:hAnsi="Verdana" w:cs="Arial"/>
        </w:rPr>
        <w:t xml:space="preserve">Toekenning van dit </w:t>
      </w:r>
      <w:r>
        <w:rPr>
          <w:rFonts w:ascii="Verdana" w:hAnsi="Verdana" w:cs="Arial"/>
        </w:rPr>
        <w:t xml:space="preserve">bedrag maakt deel uit van </w:t>
      </w:r>
      <w:r w:rsidR="004C7429">
        <w:rPr>
          <w:rFonts w:ascii="Verdana" w:hAnsi="Verdana" w:cs="Arial"/>
        </w:rPr>
        <w:t>de beschikking met betrekking</w:t>
      </w:r>
      <w:r>
        <w:rPr>
          <w:rFonts w:ascii="Verdana" w:hAnsi="Verdana" w:cs="Arial"/>
        </w:rPr>
        <w:t xml:space="preserve"> tot compensatie.</w:t>
      </w:r>
    </w:p>
    <w:p w:rsidR="004808CE" w:rsidRDefault="004808CE" w:rsidP="00752F99">
      <w:pPr>
        <w:widowControl/>
        <w:tabs>
          <w:tab w:val="left" w:pos="540"/>
          <w:tab w:val="left" w:pos="900"/>
          <w:tab w:val="left" w:pos="1080"/>
        </w:tabs>
        <w:spacing w:before="120" w:after="120" w:line="240" w:lineRule="auto"/>
        <w:outlineLvl w:val="0"/>
        <w:rPr>
          <w:rFonts w:ascii="Verdana" w:hAnsi="Verdana" w:cs="Arial"/>
        </w:rPr>
      </w:pPr>
      <w:r>
        <w:rPr>
          <w:rFonts w:ascii="Verdana" w:hAnsi="Verdana" w:cs="Arial"/>
        </w:rPr>
        <w:t xml:space="preserve">Hetzelfde geldt voor de aanvullende compensatie voor schade </w:t>
      </w:r>
      <w:r w:rsidR="00603F4C">
        <w:rPr>
          <w:rFonts w:ascii="Verdana" w:hAnsi="Verdana" w:cs="Arial"/>
        </w:rPr>
        <w:t xml:space="preserve">door </w:t>
      </w:r>
      <w:r w:rsidR="00BA1559">
        <w:rPr>
          <w:rFonts w:ascii="Verdana" w:hAnsi="Verdana" w:cs="Arial"/>
        </w:rPr>
        <w:t>gedwongen verkoop van bezittingen</w:t>
      </w:r>
      <w:r>
        <w:rPr>
          <w:rFonts w:ascii="Verdana" w:hAnsi="Verdana" w:cs="Arial"/>
        </w:rPr>
        <w:t xml:space="preserve">. De ouder krijgt </w:t>
      </w:r>
      <w:r w:rsidR="00FB1DF8">
        <w:rPr>
          <w:rFonts w:ascii="Verdana" w:hAnsi="Verdana" w:cs="Arial"/>
        </w:rPr>
        <w:t>1</w:t>
      </w:r>
      <w:r>
        <w:rPr>
          <w:rFonts w:ascii="Verdana" w:hAnsi="Verdana" w:cs="Arial"/>
        </w:rPr>
        <w:t xml:space="preserve">% over het bedrag van de compensatie voor </w:t>
      </w:r>
      <w:r w:rsidR="00FE6DD1">
        <w:rPr>
          <w:rFonts w:ascii="Verdana" w:hAnsi="Verdana" w:cs="Arial"/>
        </w:rPr>
        <w:t xml:space="preserve">deze </w:t>
      </w:r>
      <w:r>
        <w:rPr>
          <w:rFonts w:ascii="Verdana" w:hAnsi="Verdana" w:cs="Arial"/>
        </w:rPr>
        <w:t xml:space="preserve">schade (onderdeel 4.1). </w:t>
      </w:r>
      <w:r w:rsidR="00BA1559">
        <w:rPr>
          <w:rFonts w:ascii="Verdana" w:hAnsi="Verdana" w:cs="Arial"/>
        </w:rPr>
        <w:t xml:space="preserve">Toekenning van dit </w:t>
      </w:r>
      <w:r>
        <w:rPr>
          <w:rFonts w:ascii="Verdana" w:hAnsi="Verdana" w:cs="Arial"/>
        </w:rPr>
        <w:t xml:space="preserve">bedrag maakt deel uit van </w:t>
      </w:r>
      <w:r w:rsidR="004C7429">
        <w:rPr>
          <w:rFonts w:ascii="Verdana" w:hAnsi="Verdana" w:cs="Arial"/>
        </w:rPr>
        <w:t>de beschikking met betrekking</w:t>
      </w:r>
      <w:r>
        <w:rPr>
          <w:rFonts w:ascii="Verdana" w:hAnsi="Verdana" w:cs="Arial"/>
        </w:rPr>
        <w:t xml:space="preserve"> tot aanvullende compensatie.</w:t>
      </w:r>
    </w:p>
    <w:p w:rsidR="001B3FBD" w:rsidRDefault="001B3FBD" w:rsidP="001B3FBD">
      <w:pPr>
        <w:keepNext/>
        <w:keepLines/>
        <w:widowControl/>
        <w:tabs>
          <w:tab w:val="left" w:pos="540"/>
          <w:tab w:val="left" w:pos="900"/>
          <w:tab w:val="left" w:pos="1080"/>
        </w:tabs>
        <w:spacing w:before="120" w:after="120" w:line="240" w:lineRule="auto"/>
        <w:rPr>
          <w:rFonts w:ascii="Verdana" w:hAnsi="Verdana" w:cs="Arial"/>
          <w:b/>
        </w:rPr>
      </w:pPr>
    </w:p>
    <w:p w:rsidR="0018680A" w:rsidRPr="00CF111C" w:rsidRDefault="00E85870" w:rsidP="0018680A">
      <w:pPr>
        <w:keepNext/>
        <w:keepLines/>
        <w:widowControl/>
        <w:tabs>
          <w:tab w:val="left" w:pos="540"/>
          <w:tab w:val="left" w:pos="900"/>
          <w:tab w:val="left" w:pos="1080"/>
        </w:tabs>
        <w:spacing w:before="120" w:after="120" w:line="240" w:lineRule="auto"/>
        <w:rPr>
          <w:rFonts w:ascii="Verdana" w:hAnsi="Verdana" w:cs="Arial"/>
          <w:b/>
          <w:bCs/>
        </w:rPr>
      </w:pPr>
      <w:r>
        <w:rPr>
          <w:rFonts w:ascii="Verdana" w:hAnsi="Verdana" w:cs="Arial"/>
          <w:b/>
          <w:bCs/>
        </w:rPr>
        <w:t>8</w:t>
      </w:r>
      <w:r w:rsidR="0018680A" w:rsidRPr="00CF111C">
        <w:rPr>
          <w:rFonts w:ascii="Verdana" w:hAnsi="Verdana" w:cs="Arial"/>
          <w:b/>
          <w:bCs/>
        </w:rPr>
        <w:t>.</w:t>
      </w:r>
      <w:r w:rsidR="0018680A" w:rsidRPr="00CF111C">
        <w:rPr>
          <w:rFonts w:ascii="Verdana" w:hAnsi="Verdana" w:cs="Arial"/>
          <w:b/>
          <w:bCs/>
        </w:rPr>
        <w:tab/>
        <w:t>Inwerkingtreding</w:t>
      </w:r>
    </w:p>
    <w:p w:rsidR="0018680A" w:rsidRPr="00CF111C" w:rsidRDefault="0018680A" w:rsidP="00FE5C1A">
      <w:pPr>
        <w:widowControl/>
        <w:tabs>
          <w:tab w:val="left" w:pos="540"/>
          <w:tab w:val="left" w:pos="900"/>
          <w:tab w:val="left" w:pos="1080"/>
        </w:tabs>
        <w:spacing w:before="120" w:after="120" w:line="240" w:lineRule="auto"/>
        <w:rPr>
          <w:rFonts w:ascii="Verdana" w:hAnsi="Verdana" w:cs="Arial"/>
        </w:rPr>
      </w:pPr>
      <w:r w:rsidRPr="00CF111C">
        <w:rPr>
          <w:rFonts w:ascii="Verdana" w:hAnsi="Verdana" w:cs="Arial"/>
        </w:rPr>
        <w:t>Dit besluit treedt in werking met ingang van</w:t>
      </w:r>
      <w:r w:rsidR="00FE5C1A">
        <w:rPr>
          <w:rFonts w:ascii="Verdana" w:hAnsi="Verdana" w:cs="Arial"/>
        </w:rPr>
        <w:t xml:space="preserve"> de dag na de datum van uitgifte van de Staatscourant waarin het wordt geplaatst</w:t>
      </w:r>
      <w:r w:rsidR="001546F1">
        <w:rPr>
          <w:rFonts w:ascii="Verdana" w:hAnsi="Verdana" w:cs="Arial"/>
        </w:rPr>
        <w:t>.</w:t>
      </w:r>
      <w:r>
        <w:rPr>
          <w:rFonts w:ascii="Verdana" w:hAnsi="Verdana" w:cs="Arial"/>
        </w:rPr>
        <w:t xml:space="preserve"> </w:t>
      </w:r>
    </w:p>
    <w:p w:rsidR="00752F99" w:rsidRDefault="00752F99" w:rsidP="00950A16">
      <w:pPr>
        <w:keepNext/>
        <w:keepLines/>
        <w:widowControl/>
        <w:tabs>
          <w:tab w:val="left" w:pos="540"/>
          <w:tab w:val="left" w:pos="900"/>
          <w:tab w:val="left" w:pos="1080"/>
        </w:tabs>
        <w:spacing w:before="120" w:after="120" w:line="240" w:lineRule="auto"/>
        <w:rPr>
          <w:rFonts w:ascii="Verdana" w:hAnsi="Verdana" w:cs="Arial"/>
          <w:b/>
          <w:bCs/>
        </w:rPr>
      </w:pPr>
    </w:p>
    <w:p w:rsidR="00950A16" w:rsidRPr="00CF111C" w:rsidRDefault="00E85870" w:rsidP="00950A16">
      <w:pPr>
        <w:keepNext/>
        <w:keepLines/>
        <w:widowControl/>
        <w:tabs>
          <w:tab w:val="left" w:pos="540"/>
          <w:tab w:val="left" w:pos="900"/>
          <w:tab w:val="left" w:pos="1080"/>
        </w:tabs>
        <w:spacing w:before="120" w:after="120" w:line="240" w:lineRule="auto"/>
        <w:rPr>
          <w:rFonts w:ascii="Verdana" w:hAnsi="Verdana" w:cs="Arial"/>
          <w:b/>
          <w:bCs/>
        </w:rPr>
      </w:pPr>
      <w:r>
        <w:rPr>
          <w:rFonts w:ascii="Verdana" w:hAnsi="Verdana" w:cs="Arial"/>
          <w:b/>
          <w:bCs/>
        </w:rPr>
        <w:t>9</w:t>
      </w:r>
      <w:r w:rsidR="00950A16" w:rsidRPr="00CF111C">
        <w:rPr>
          <w:rFonts w:ascii="Verdana" w:hAnsi="Verdana" w:cs="Arial"/>
          <w:b/>
          <w:bCs/>
        </w:rPr>
        <w:t>.</w:t>
      </w:r>
      <w:r w:rsidR="00950A16" w:rsidRPr="00CF111C">
        <w:rPr>
          <w:rFonts w:ascii="Verdana" w:hAnsi="Verdana" w:cs="Arial"/>
          <w:b/>
          <w:bCs/>
        </w:rPr>
        <w:tab/>
      </w:r>
      <w:r w:rsidR="00950A16">
        <w:rPr>
          <w:rFonts w:ascii="Verdana" w:hAnsi="Verdana" w:cs="Arial"/>
          <w:b/>
          <w:bCs/>
        </w:rPr>
        <w:t>Citeertitel</w:t>
      </w:r>
    </w:p>
    <w:p w:rsidR="00950A16" w:rsidRPr="00950A16" w:rsidRDefault="00950A16" w:rsidP="00950A16">
      <w:pPr>
        <w:widowControl/>
        <w:tabs>
          <w:tab w:val="left" w:pos="540"/>
          <w:tab w:val="left" w:pos="900"/>
          <w:tab w:val="left" w:pos="1080"/>
        </w:tabs>
        <w:spacing w:before="120" w:after="120" w:line="240" w:lineRule="auto"/>
        <w:rPr>
          <w:rFonts w:ascii="Verdana" w:hAnsi="Verdana" w:cs="Arial"/>
        </w:rPr>
      </w:pPr>
      <w:r w:rsidRPr="00950A16">
        <w:rPr>
          <w:rFonts w:ascii="Verdana" w:hAnsi="Verdana" w:cs="Arial"/>
        </w:rPr>
        <w:t xml:space="preserve">Dit besluit wordt aangehaald als: </w:t>
      </w:r>
      <w:r w:rsidR="00CC2325">
        <w:rPr>
          <w:rFonts w:ascii="Verdana" w:hAnsi="Verdana" w:cs="Arial"/>
        </w:rPr>
        <w:t>Compensatie</w:t>
      </w:r>
      <w:r w:rsidR="008C3953">
        <w:rPr>
          <w:rFonts w:ascii="Verdana" w:hAnsi="Verdana" w:cs="Arial"/>
        </w:rPr>
        <w:t>regeling</w:t>
      </w:r>
      <w:r w:rsidR="00CC2325">
        <w:rPr>
          <w:rFonts w:ascii="Verdana" w:hAnsi="Verdana" w:cs="Arial"/>
        </w:rPr>
        <w:t xml:space="preserve"> </w:t>
      </w:r>
      <w:r w:rsidR="001546F1">
        <w:rPr>
          <w:rFonts w:ascii="Verdana" w:hAnsi="Verdana" w:cs="Arial"/>
        </w:rPr>
        <w:t>CAF 11</w:t>
      </w:r>
      <w:r w:rsidRPr="00950A16">
        <w:rPr>
          <w:rFonts w:ascii="Verdana" w:hAnsi="Verdana" w:cs="Arial"/>
        </w:rPr>
        <w:t>.</w:t>
      </w:r>
    </w:p>
    <w:p w:rsidR="0018680A" w:rsidRPr="00CF111C" w:rsidRDefault="0018680A" w:rsidP="0018680A">
      <w:pPr>
        <w:spacing w:after="120" w:line="240" w:lineRule="auto"/>
        <w:rPr>
          <w:rFonts w:ascii="Verdana" w:hAnsi="Verdana"/>
        </w:rPr>
      </w:pPr>
    </w:p>
    <w:p w:rsidR="0018680A" w:rsidRPr="00CF111C" w:rsidRDefault="0018680A" w:rsidP="0018680A">
      <w:pPr>
        <w:spacing w:after="120" w:line="240" w:lineRule="auto"/>
        <w:rPr>
          <w:rFonts w:ascii="Verdana" w:hAnsi="Verdana"/>
        </w:rPr>
      </w:pPr>
      <w:r w:rsidRPr="00CF111C">
        <w:rPr>
          <w:rFonts w:ascii="Verdana" w:hAnsi="Verdana"/>
        </w:rPr>
        <w:t xml:space="preserve">Dit besluit </w:t>
      </w:r>
      <w:r w:rsidR="00B4306A">
        <w:rPr>
          <w:rFonts w:ascii="Verdana" w:hAnsi="Verdana"/>
        </w:rPr>
        <w:t>zal</w:t>
      </w:r>
      <w:r w:rsidRPr="00CF111C">
        <w:rPr>
          <w:rFonts w:ascii="Verdana" w:hAnsi="Verdana"/>
        </w:rPr>
        <w:t xml:space="preserve"> </w:t>
      </w:r>
      <w:r w:rsidR="00FE5C1A">
        <w:rPr>
          <w:rFonts w:ascii="Verdana" w:hAnsi="Verdana"/>
        </w:rPr>
        <w:t>in</w:t>
      </w:r>
      <w:r w:rsidRPr="00CF111C">
        <w:rPr>
          <w:rFonts w:ascii="Verdana" w:hAnsi="Verdana"/>
        </w:rPr>
        <w:t xml:space="preserve"> de Staatscourant </w:t>
      </w:r>
      <w:r w:rsidR="00B4306A">
        <w:rPr>
          <w:rFonts w:ascii="Verdana" w:hAnsi="Verdana"/>
        </w:rPr>
        <w:t xml:space="preserve">worden </w:t>
      </w:r>
      <w:r w:rsidRPr="00CF111C">
        <w:rPr>
          <w:rFonts w:ascii="Verdana" w:hAnsi="Verdana"/>
        </w:rPr>
        <w:t>gep</w:t>
      </w:r>
      <w:r w:rsidR="00B4306A">
        <w:rPr>
          <w:rFonts w:ascii="Verdana" w:hAnsi="Verdana"/>
        </w:rPr>
        <w:t>laatst</w:t>
      </w:r>
      <w:r w:rsidRPr="00CF111C">
        <w:rPr>
          <w:rFonts w:ascii="Verdana" w:hAnsi="Verdana"/>
        </w:rPr>
        <w:t>.</w:t>
      </w:r>
    </w:p>
    <w:p w:rsidR="0018680A" w:rsidRPr="00CF111C" w:rsidRDefault="0018680A" w:rsidP="0018680A">
      <w:pPr>
        <w:spacing w:after="120" w:line="240" w:lineRule="auto"/>
        <w:rPr>
          <w:rFonts w:ascii="Verdana" w:hAnsi="Verdana"/>
        </w:rPr>
      </w:pPr>
    </w:p>
    <w:p w:rsidR="0018680A" w:rsidRDefault="0018680A" w:rsidP="0018680A">
      <w:pPr>
        <w:spacing w:after="120" w:line="240" w:lineRule="auto"/>
        <w:rPr>
          <w:rFonts w:ascii="Verdana" w:hAnsi="Verdana"/>
        </w:rPr>
      </w:pPr>
      <w:r w:rsidRPr="00CF111C">
        <w:rPr>
          <w:rFonts w:ascii="Verdana" w:hAnsi="Verdana"/>
        </w:rPr>
        <w:t xml:space="preserve">Den Haag, </w:t>
      </w:r>
      <w:r w:rsidR="00063E24">
        <w:rPr>
          <w:rFonts w:ascii="Verdana" w:hAnsi="Verdana" w:cs="Arial"/>
        </w:rPr>
        <w:t>…</w:t>
      </w:r>
    </w:p>
    <w:p w:rsidR="00063E24" w:rsidRPr="00CF111C" w:rsidRDefault="00063E24" w:rsidP="0018680A">
      <w:pPr>
        <w:spacing w:after="120" w:line="240" w:lineRule="auto"/>
        <w:rPr>
          <w:rFonts w:ascii="Verdana" w:hAnsi="Verdana"/>
        </w:rPr>
      </w:pPr>
    </w:p>
    <w:p w:rsidR="000703E8" w:rsidRDefault="000703E8" w:rsidP="000703E8">
      <w:pPr>
        <w:pStyle w:val="standaard0"/>
        <w:tabs>
          <w:tab w:val="left" w:pos="284"/>
        </w:tabs>
        <w:spacing w:line="240" w:lineRule="exact"/>
        <w:ind w:left="0" w:firstLine="0"/>
        <w:rPr>
          <w:rFonts w:ascii="Verdana" w:hAnsi="Verdana" w:cs="Times New Roman"/>
          <w:color w:val="auto"/>
        </w:rPr>
      </w:pPr>
      <w:r w:rsidRPr="000703E8">
        <w:rPr>
          <w:rFonts w:ascii="Verdana" w:hAnsi="Verdana" w:cs="Times New Roman"/>
          <w:color w:val="auto"/>
        </w:rPr>
        <w:t xml:space="preserve">De </w:t>
      </w:r>
      <w:r w:rsidR="003224FC">
        <w:rPr>
          <w:rFonts w:ascii="Verdana" w:hAnsi="Verdana" w:cs="Times New Roman"/>
          <w:color w:val="auto"/>
        </w:rPr>
        <w:t>S</w:t>
      </w:r>
      <w:r w:rsidRPr="000703E8">
        <w:rPr>
          <w:rFonts w:ascii="Verdana" w:hAnsi="Verdana" w:cs="Times New Roman"/>
          <w:color w:val="auto"/>
        </w:rPr>
        <w:t>taatssecretaris van Financiën,</w:t>
      </w:r>
    </w:p>
    <w:p w:rsidR="00FC056C" w:rsidRDefault="00FC056C" w:rsidP="000703E8">
      <w:pPr>
        <w:pStyle w:val="standaard0"/>
        <w:tabs>
          <w:tab w:val="left" w:pos="284"/>
        </w:tabs>
        <w:spacing w:line="240" w:lineRule="exact"/>
        <w:ind w:left="0" w:firstLine="0"/>
        <w:rPr>
          <w:rFonts w:ascii="Verdana" w:hAnsi="Verdana" w:cs="Times New Roman"/>
          <w:color w:val="auto"/>
        </w:rPr>
      </w:pPr>
    </w:p>
    <w:p w:rsidR="00D570B8" w:rsidRPr="00D570B8" w:rsidRDefault="00D570B8" w:rsidP="00D570B8">
      <w:pPr>
        <w:pStyle w:val="standaard0"/>
        <w:tabs>
          <w:tab w:val="left" w:pos="284"/>
        </w:tabs>
        <w:spacing w:line="240" w:lineRule="exact"/>
        <w:ind w:left="0" w:firstLine="0"/>
        <w:rPr>
          <w:rFonts w:ascii="Verdana" w:hAnsi="Verdana" w:cs="Times New Roman"/>
          <w:color w:val="auto"/>
        </w:rPr>
      </w:pPr>
      <w:r w:rsidRPr="00D570B8">
        <w:rPr>
          <w:rFonts w:ascii="Verdana" w:hAnsi="Verdana" w:cs="Times New Roman"/>
          <w:color w:val="auto"/>
        </w:rPr>
        <w:t>namens deze,</w:t>
      </w:r>
    </w:p>
    <w:p w:rsidR="00D570B8" w:rsidRPr="00D570B8" w:rsidRDefault="00D570B8" w:rsidP="00D570B8">
      <w:pPr>
        <w:pStyle w:val="standaard0"/>
        <w:tabs>
          <w:tab w:val="left" w:pos="284"/>
        </w:tabs>
        <w:spacing w:line="240" w:lineRule="exact"/>
        <w:ind w:left="0" w:firstLine="0"/>
        <w:rPr>
          <w:rFonts w:ascii="Verdana" w:hAnsi="Verdana" w:cs="Times New Roman"/>
          <w:color w:val="auto"/>
        </w:rPr>
      </w:pPr>
    </w:p>
    <w:p w:rsidR="00D570B8" w:rsidRDefault="00D570B8" w:rsidP="00D570B8">
      <w:pPr>
        <w:pStyle w:val="standaard0"/>
        <w:tabs>
          <w:tab w:val="left" w:pos="284"/>
        </w:tabs>
        <w:spacing w:line="240" w:lineRule="exact"/>
        <w:ind w:left="0" w:firstLine="0"/>
        <w:rPr>
          <w:rFonts w:ascii="Verdana" w:hAnsi="Verdana" w:cs="Times New Roman"/>
          <w:color w:val="auto"/>
        </w:rPr>
      </w:pPr>
    </w:p>
    <w:p w:rsidR="00063E24" w:rsidRPr="00D570B8" w:rsidRDefault="00063E24" w:rsidP="00D570B8">
      <w:pPr>
        <w:pStyle w:val="standaard0"/>
        <w:tabs>
          <w:tab w:val="left" w:pos="284"/>
        </w:tabs>
        <w:spacing w:line="240" w:lineRule="exact"/>
        <w:ind w:left="0" w:firstLine="0"/>
        <w:rPr>
          <w:rFonts w:ascii="Verdana" w:hAnsi="Verdana" w:cs="Times New Roman"/>
          <w:color w:val="auto"/>
        </w:rPr>
      </w:pPr>
    </w:p>
    <w:p w:rsidR="000850E0" w:rsidRDefault="000850E0" w:rsidP="000850E0">
      <w:pPr>
        <w:spacing w:before="120" w:after="120"/>
        <w:rPr>
          <w:rFonts w:ascii="Verdana" w:hAnsi="Verdana"/>
          <w:color w:val="000000"/>
        </w:rPr>
      </w:pPr>
      <w:r>
        <w:rPr>
          <w:rFonts w:ascii="Verdana" w:hAnsi="Verdana"/>
          <w:color w:val="000000"/>
        </w:rPr>
        <w:t>mr. J. de Blieck</w:t>
      </w:r>
    </w:p>
    <w:p w:rsidR="00752F99" w:rsidRDefault="00112E6D" w:rsidP="007C42C7">
      <w:pPr>
        <w:spacing w:after="120" w:line="240" w:lineRule="auto"/>
        <w:rPr>
          <w:rFonts w:ascii="Verdana" w:hAnsi="Verdana"/>
        </w:rPr>
      </w:pPr>
      <w:r w:rsidRPr="00112E6D">
        <w:rPr>
          <w:rFonts w:ascii="Verdana" w:hAnsi="Verdana"/>
        </w:rPr>
        <w:t xml:space="preserve">hoofddirecteur </w:t>
      </w:r>
      <w:r w:rsidR="001E6089">
        <w:rPr>
          <w:rFonts w:ascii="Verdana" w:hAnsi="Verdana"/>
        </w:rPr>
        <w:t>Fiscale en</w:t>
      </w:r>
      <w:r w:rsidRPr="00112E6D">
        <w:rPr>
          <w:rFonts w:ascii="Verdana" w:hAnsi="Verdana"/>
        </w:rPr>
        <w:t xml:space="preserve"> Juridische Zaken</w:t>
      </w:r>
      <w:r w:rsidR="00D570B8" w:rsidRPr="00D570B8" w:rsidDel="00D570B8">
        <w:rPr>
          <w:rFonts w:ascii="Verdana" w:hAnsi="Verdana"/>
        </w:rPr>
        <w:t xml:space="preserve"> </w:t>
      </w:r>
    </w:p>
    <w:sectPr w:rsidR="00752F99" w:rsidSect="0018680A">
      <w:endnotePr>
        <w:numFmt w:val="decimal"/>
      </w:endnotePr>
      <w:type w:val="continuous"/>
      <w:pgSz w:w="11907" w:h="16840" w:code="9"/>
      <w:pgMar w:top="726" w:right="1134" w:bottom="1276" w:left="2694" w:header="567"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0A" w:rsidRDefault="006C3D0A">
      <w:r>
        <w:separator/>
      </w:r>
    </w:p>
  </w:endnote>
  <w:endnote w:type="continuationSeparator" w:id="0">
    <w:p w:rsidR="006C3D0A" w:rsidRDefault="006C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0A" w:rsidRDefault="006C3D0A">
      <w:r>
        <w:separator/>
      </w:r>
    </w:p>
  </w:footnote>
  <w:footnote w:type="continuationSeparator" w:id="0">
    <w:p w:rsidR="006C3D0A" w:rsidRDefault="006C3D0A">
      <w:r>
        <w:continuationSeparator/>
      </w:r>
    </w:p>
  </w:footnote>
  <w:footnote w:id="1">
    <w:p w:rsidR="00B4539B" w:rsidRPr="00AE64DB" w:rsidRDefault="00B4539B" w:rsidP="00B4539B">
      <w:pPr>
        <w:pStyle w:val="Voetnoottekst"/>
        <w:rPr>
          <w:rFonts w:ascii="Verdana" w:hAnsi="Verdana"/>
          <w:sz w:val="16"/>
          <w:szCs w:val="16"/>
        </w:rPr>
      </w:pPr>
      <w:r w:rsidRPr="00AE64DB">
        <w:rPr>
          <w:rStyle w:val="Voetnootmarkering"/>
          <w:rFonts w:ascii="Verdana" w:hAnsi="Verdana"/>
          <w:sz w:val="16"/>
          <w:szCs w:val="16"/>
        </w:rPr>
        <w:footnoteRef/>
      </w:r>
      <w:r w:rsidRPr="00AE64DB">
        <w:rPr>
          <w:rFonts w:ascii="Verdana" w:hAnsi="Verdana"/>
          <w:sz w:val="16"/>
          <w:szCs w:val="16"/>
        </w:rPr>
        <w:t xml:space="preserve"> Besluit van 22 december 1993, houdende nadere regels betreffende de proceskostenveroordeling in bestuursrechtelijke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45E5"/>
    <w:multiLevelType w:val="hybridMultilevel"/>
    <w:tmpl w:val="592098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DE1F53"/>
    <w:multiLevelType w:val="hybridMultilevel"/>
    <w:tmpl w:val="6B4EE894"/>
    <w:lvl w:ilvl="0" w:tplc="BF468DB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C407C8"/>
    <w:multiLevelType w:val="hybridMultilevel"/>
    <w:tmpl w:val="A45E5D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22655A"/>
    <w:multiLevelType w:val="multilevel"/>
    <w:tmpl w:val="545CC09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17679A"/>
    <w:multiLevelType w:val="multilevel"/>
    <w:tmpl w:val="EDB2771C"/>
    <w:lvl w:ilvl="0">
      <w:start w:val="1"/>
      <w:numFmt w:val="decimal"/>
      <w:lvlText w:val="%1."/>
      <w:lvlJc w:val="left"/>
      <w:pPr>
        <w:tabs>
          <w:tab w:val="num" w:pos="40"/>
        </w:tabs>
        <w:ind w:left="0" w:firstLine="0"/>
      </w:pPr>
      <w:rPr>
        <w:rFonts w:hint="default"/>
      </w:rPr>
    </w:lvl>
    <w:lvl w:ilvl="1">
      <w:start w:val="1"/>
      <w:numFmt w:val="lowerLetter"/>
      <w:lvlText w:val="%2."/>
      <w:lvlJc w:val="left"/>
      <w:pPr>
        <w:tabs>
          <w:tab w:val="num" w:pos="760"/>
        </w:tabs>
        <w:ind w:left="760" w:hanging="360"/>
      </w:pPr>
    </w:lvl>
    <w:lvl w:ilvl="2">
      <w:start w:val="1"/>
      <w:numFmt w:val="lowerRoman"/>
      <w:lvlText w:val="%3."/>
      <w:lvlJc w:val="right"/>
      <w:pPr>
        <w:tabs>
          <w:tab w:val="num" w:pos="1480"/>
        </w:tabs>
        <w:ind w:left="1480" w:hanging="180"/>
      </w:pPr>
    </w:lvl>
    <w:lvl w:ilvl="3">
      <w:start w:val="1"/>
      <w:numFmt w:val="decimal"/>
      <w:lvlText w:val="%4."/>
      <w:lvlJc w:val="left"/>
      <w:pPr>
        <w:tabs>
          <w:tab w:val="num" w:pos="2200"/>
        </w:tabs>
        <w:ind w:left="2200" w:hanging="360"/>
      </w:pPr>
    </w:lvl>
    <w:lvl w:ilvl="4">
      <w:start w:val="1"/>
      <w:numFmt w:val="lowerLetter"/>
      <w:lvlText w:val="%5."/>
      <w:lvlJc w:val="left"/>
      <w:pPr>
        <w:tabs>
          <w:tab w:val="num" w:pos="2920"/>
        </w:tabs>
        <w:ind w:left="2920" w:hanging="360"/>
      </w:pPr>
    </w:lvl>
    <w:lvl w:ilvl="5">
      <w:start w:val="1"/>
      <w:numFmt w:val="lowerRoman"/>
      <w:lvlText w:val="%6."/>
      <w:lvlJc w:val="right"/>
      <w:pPr>
        <w:tabs>
          <w:tab w:val="num" w:pos="3640"/>
        </w:tabs>
        <w:ind w:left="3640" w:hanging="180"/>
      </w:pPr>
    </w:lvl>
    <w:lvl w:ilvl="6">
      <w:start w:val="1"/>
      <w:numFmt w:val="decimal"/>
      <w:lvlText w:val="%7."/>
      <w:lvlJc w:val="left"/>
      <w:pPr>
        <w:tabs>
          <w:tab w:val="num" w:pos="4360"/>
        </w:tabs>
        <w:ind w:left="4360" w:hanging="360"/>
      </w:pPr>
    </w:lvl>
    <w:lvl w:ilvl="7">
      <w:start w:val="1"/>
      <w:numFmt w:val="lowerLetter"/>
      <w:lvlText w:val="%8."/>
      <w:lvlJc w:val="left"/>
      <w:pPr>
        <w:tabs>
          <w:tab w:val="num" w:pos="5080"/>
        </w:tabs>
        <w:ind w:left="5080" w:hanging="360"/>
      </w:pPr>
    </w:lvl>
    <w:lvl w:ilvl="8">
      <w:start w:val="1"/>
      <w:numFmt w:val="lowerRoman"/>
      <w:lvlText w:val="%9."/>
      <w:lvlJc w:val="right"/>
      <w:pPr>
        <w:tabs>
          <w:tab w:val="num" w:pos="5800"/>
        </w:tabs>
        <w:ind w:left="5800" w:hanging="180"/>
      </w:pPr>
    </w:lvl>
  </w:abstractNum>
  <w:abstractNum w:abstractNumId="5" w15:restartNumberingAfterBreak="0">
    <w:nsid w:val="31927252"/>
    <w:multiLevelType w:val="hybridMultilevel"/>
    <w:tmpl w:val="7194BE54"/>
    <w:lvl w:ilvl="0" w:tplc="CBCA7C42">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8B6E2D"/>
    <w:multiLevelType w:val="hybridMultilevel"/>
    <w:tmpl w:val="B144343C"/>
    <w:lvl w:ilvl="0" w:tplc="5E962FC6">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760"/>
        </w:tabs>
        <w:ind w:left="760" w:hanging="360"/>
      </w:pPr>
    </w:lvl>
    <w:lvl w:ilvl="2" w:tplc="0413001B" w:tentative="1">
      <w:start w:val="1"/>
      <w:numFmt w:val="lowerRoman"/>
      <w:lvlText w:val="%3."/>
      <w:lvlJc w:val="right"/>
      <w:pPr>
        <w:tabs>
          <w:tab w:val="num" w:pos="1480"/>
        </w:tabs>
        <w:ind w:left="1480" w:hanging="180"/>
      </w:pPr>
    </w:lvl>
    <w:lvl w:ilvl="3" w:tplc="0413000F" w:tentative="1">
      <w:start w:val="1"/>
      <w:numFmt w:val="decimal"/>
      <w:lvlText w:val="%4."/>
      <w:lvlJc w:val="left"/>
      <w:pPr>
        <w:tabs>
          <w:tab w:val="num" w:pos="2200"/>
        </w:tabs>
        <w:ind w:left="2200" w:hanging="360"/>
      </w:pPr>
    </w:lvl>
    <w:lvl w:ilvl="4" w:tplc="04130019" w:tentative="1">
      <w:start w:val="1"/>
      <w:numFmt w:val="lowerLetter"/>
      <w:lvlText w:val="%5."/>
      <w:lvlJc w:val="left"/>
      <w:pPr>
        <w:tabs>
          <w:tab w:val="num" w:pos="2920"/>
        </w:tabs>
        <w:ind w:left="2920" w:hanging="360"/>
      </w:pPr>
    </w:lvl>
    <w:lvl w:ilvl="5" w:tplc="0413001B" w:tentative="1">
      <w:start w:val="1"/>
      <w:numFmt w:val="lowerRoman"/>
      <w:lvlText w:val="%6."/>
      <w:lvlJc w:val="right"/>
      <w:pPr>
        <w:tabs>
          <w:tab w:val="num" w:pos="3640"/>
        </w:tabs>
        <w:ind w:left="3640" w:hanging="180"/>
      </w:pPr>
    </w:lvl>
    <w:lvl w:ilvl="6" w:tplc="0413000F" w:tentative="1">
      <w:start w:val="1"/>
      <w:numFmt w:val="decimal"/>
      <w:lvlText w:val="%7."/>
      <w:lvlJc w:val="left"/>
      <w:pPr>
        <w:tabs>
          <w:tab w:val="num" w:pos="4360"/>
        </w:tabs>
        <w:ind w:left="4360" w:hanging="360"/>
      </w:pPr>
    </w:lvl>
    <w:lvl w:ilvl="7" w:tplc="04130019" w:tentative="1">
      <w:start w:val="1"/>
      <w:numFmt w:val="lowerLetter"/>
      <w:lvlText w:val="%8."/>
      <w:lvlJc w:val="left"/>
      <w:pPr>
        <w:tabs>
          <w:tab w:val="num" w:pos="5080"/>
        </w:tabs>
        <w:ind w:left="5080" w:hanging="360"/>
      </w:pPr>
    </w:lvl>
    <w:lvl w:ilvl="8" w:tplc="0413001B" w:tentative="1">
      <w:start w:val="1"/>
      <w:numFmt w:val="lowerRoman"/>
      <w:lvlText w:val="%9."/>
      <w:lvlJc w:val="right"/>
      <w:pPr>
        <w:tabs>
          <w:tab w:val="num" w:pos="5800"/>
        </w:tabs>
        <w:ind w:left="5800" w:hanging="180"/>
      </w:pPr>
    </w:lvl>
  </w:abstractNum>
  <w:abstractNum w:abstractNumId="7" w15:restartNumberingAfterBreak="0">
    <w:nsid w:val="4814776F"/>
    <w:multiLevelType w:val="hybridMultilevel"/>
    <w:tmpl w:val="ABD244D0"/>
    <w:lvl w:ilvl="0" w:tplc="C6229D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D9711E"/>
    <w:multiLevelType w:val="hybridMultilevel"/>
    <w:tmpl w:val="E46E0A3C"/>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43C5B8A"/>
    <w:multiLevelType w:val="hybridMultilevel"/>
    <w:tmpl w:val="05C834E4"/>
    <w:lvl w:ilvl="0" w:tplc="0DE2DC36">
      <w:numFmt w:val="bullet"/>
      <w:lvlText w:val="-"/>
      <w:lvlJc w:val="left"/>
      <w:pPr>
        <w:tabs>
          <w:tab w:val="num" w:pos="360"/>
        </w:tabs>
        <w:ind w:left="360" w:hanging="360"/>
      </w:pPr>
      <w:rPr>
        <w:rFonts w:ascii="Times New Roman" w:eastAsia="Times New Roman" w:hAnsi="Times New Roman" w:cs="Times New Roman" w:hint="default"/>
      </w:rPr>
    </w:lvl>
    <w:lvl w:ilvl="1" w:tplc="0413000F">
      <w:start w:val="1"/>
      <w:numFmt w:val="decimal"/>
      <w:lvlText w:val="%2."/>
      <w:lvlJc w:val="left"/>
      <w:pPr>
        <w:tabs>
          <w:tab w:val="num" w:pos="1080"/>
        </w:tabs>
        <w:ind w:left="1080" w:hanging="360"/>
      </w:pPr>
    </w:lvl>
    <w:lvl w:ilvl="2" w:tplc="5704B456">
      <w:start w:val="1"/>
      <w:numFmt w:val="lowerLetter"/>
      <w:lvlText w:val="%3."/>
      <w:lvlJc w:val="left"/>
      <w:pPr>
        <w:tabs>
          <w:tab w:val="num" w:pos="2010"/>
        </w:tabs>
        <w:ind w:left="2010" w:hanging="57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882B16"/>
    <w:multiLevelType w:val="multilevel"/>
    <w:tmpl w:val="A1E42C8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57011B6A"/>
    <w:multiLevelType w:val="hybridMultilevel"/>
    <w:tmpl w:val="9C8AF04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7791574"/>
    <w:multiLevelType w:val="multilevel"/>
    <w:tmpl w:val="05C834E4"/>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80"/>
        </w:tabs>
        <w:ind w:left="1080" w:hanging="360"/>
      </w:pPr>
    </w:lvl>
    <w:lvl w:ilvl="2">
      <w:start w:val="1"/>
      <w:numFmt w:val="lowerLetter"/>
      <w:lvlText w:val="%3."/>
      <w:lvlJc w:val="left"/>
      <w:pPr>
        <w:tabs>
          <w:tab w:val="num" w:pos="2010"/>
        </w:tabs>
        <w:ind w:left="2010" w:hanging="57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2AD4A20"/>
    <w:multiLevelType w:val="hybridMultilevel"/>
    <w:tmpl w:val="34D888F4"/>
    <w:lvl w:ilvl="0" w:tplc="163C426A">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1080F8A"/>
    <w:multiLevelType w:val="hybridMultilevel"/>
    <w:tmpl w:val="1BD04624"/>
    <w:lvl w:ilvl="0" w:tplc="3192FE36">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D26427"/>
    <w:multiLevelType w:val="hybridMultilevel"/>
    <w:tmpl w:val="7C147F9A"/>
    <w:lvl w:ilvl="0" w:tplc="37727010">
      <w:start w:val="2"/>
      <w:numFmt w:val="bullet"/>
      <w:lvlText w:val="-"/>
      <w:lvlJc w:val="left"/>
      <w:pPr>
        <w:ind w:left="360" w:hanging="360"/>
      </w:pPr>
      <w:rPr>
        <w:rFonts w:ascii="Verdana" w:eastAsia="Times New Roman"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6"/>
  </w:num>
  <w:num w:numId="4">
    <w:abstractNumId w:val="4"/>
  </w:num>
  <w:num w:numId="5">
    <w:abstractNumId w:val="1"/>
  </w:num>
  <w:num w:numId="6">
    <w:abstractNumId w:val="14"/>
  </w:num>
  <w:num w:numId="7">
    <w:abstractNumId w:val="10"/>
  </w:num>
  <w:num w:numId="8">
    <w:abstractNumId w:val="5"/>
  </w:num>
  <w:num w:numId="9">
    <w:abstractNumId w:val="0"/>
  </w:num>
  <w:num w:numId="10">
    <w:abstractNumId w:val="3"/>
  </w:num>
  <w:num w:numId="11">
    <w:abstractNumId w:val="7"/>
  </w:num>
  <w:num w:numId="12">
    <w:abstractNumId w:val="2"/>
  </w:num>
  <w:num w:numId="13">
    <w:abstractNumId w:val="15"/>
  </w:num>
  <w:num w:numId="14">
    <w:abstractNumId w:val="11"/>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nl-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39"/>
    <w:rsid w:val="00001478"/>
    <w:rsid w:val="00015917"/>
    <w:rsid w:val="00015989"/>
    <w:rsid w:val="00017C19"/>
    <w:rsid w:val="0002562C"/>
    <w:rsid w:val="00032BB9"/>
    <w:rsid w:val="0003456A"/>
    <w:rsid w:val="000421A9"/>
    <w:rsid w:val="00042BF5"/>
    <w:rsid w:val="00052CD3"/>
    <w:rsid w:val="00054AD7"/>
    <w:rsid w:val="00060266"/>
    <w:rsid w:val="00063557"/>
    <w:rsid w:val="00063E24"/>
    <w:rsid w:val="000703E8"/>
    <w:rsid w:val="0007500A"/>
    <w:rsid w:val="000806AE"/>
    <w:rsid w:val="000850E0"/>
    <w:rsid w:val="000919A4"/>
    <w:rsid w:val="00093C07"/>
    <w:rsid w:val="0009472C"/>
    <w:rsid w:val="000A72FE"/>
    <w:rsid w:val="000C0E01"/>
    <w:rsid w:val="000C5889"/>
    <w:rsid w:val="000D6D6C"/>
    <w:rsid w:val="000E1AB0"/>
    <w:rsid w:val="00105B69"/>
    <w:rsid w:val="00112E6D"/>
    <w:rsid w:val="00132909"/>
    <w:rsid w:val="001356B8"/>
    <w:rsid w:val="0014472D"/>
    <w:rsid w:val="001520BB"/>
    <w:rsid w:val="00153E64"/>
    <w:rsid w:val="001546F1"/>
    <w:rsid w:val="001618C4"/>
    <w:rsid w:val="00166FE3"/>
    <w:rsid w:val="0016725C"/>
    <w:rsid w:val="00171CEE"/>
    <w:rsid w:val="0017216D"/>
    <w:rsid w:val="00172D87"/>
    <w:rsid w:val="0017714E"/>
    <w:rsid w:val="0018067E"/>
    <w:rsid w:val="00182E79"/>
    <w:rsid w:val="001849F3"/>
    <w:rsid w:val="0018680A"/>
    <w:rsid w:val="00192243"/>
    <w:rsid w:val="001926F1"/>
    <w:rsid w:val="0019280B"/>
    <w:rsid w:val="00194B78"/>
    <w:rsid w:val="001A766C"/>
    <w:rsid w:val="001B3FBD"/>
    <w:rsid w:val="001D02F1"/>
    <w:rsid w:val="001D3148"/>
    <w:rsid w:val="001D58B0"/>
    <w:rsid w:val="001E6089"/>
    <w:rsid w:val="001F05A8"/>
    <w:rsid w:val="001F6869"/>
    <w:rsid w:val="00206AAE"/>
    <w:rsid w:val="00213CB6"/>
    <w:rsid w:val="00225838"/>
    <w:rsid w:val="0023680B"/>
    <w:rsid w:val="002369A6"/>
    <w:rsid w:val="00243667"/>
    <w:rsid w:val="002446F7"/>
    <w:rsid w:val="00253C12"/>
    <w:rsid w:val="0025635F"/>
    <w:rsid w:val="00265DF7"/>
    <w:rsid w:val="00267E31"/>
    <w:rsid w:val="002812A2"/>
    <w:rsid w:val="00283F4C"/>
    <w:rsid w:val="0028529C"/>
    <w:rsid w:val="00294479"/>
    <w:rsid w:val="002A5C9C"/>
    <w:rsid w:val="002A6271"/>
    <w:rsid w:val="002A6A0E"/>
    <w:rsid w:val="002B1D31"/>
    <w:rsid w:val="002B39C3"/>
    <w:rsid w:val="002C006B"/>
    <w:rsid w:val="002C2107"/>
    <w:rsid w:val="002C5FBD"/>
    <w:rsid w:val="002D009C"/>
    <w:rsid w:val="002F3EE4"/>
    <w:rsid w:val="002F4D69"/>
    <w:rsid w:val="002F6B90"/>
    <w:rsid w:val="002F7997"/>
    <w:rsid w:val="00300033"/>
    <w:rsid w:val="00307639"/>
    <w:rsid w:val="00307CAB"/>
    <w:rsid w:val="00314807"/>
    <w:rsid w:val="0032202A"/>
    <w:rsid w:val="003224FC"/>
    <w:rsid w:val="00326912"/>
    <w:rsid w:val="00326FE5"/>
    <w:rsid w:val="00330F46"/>
    <w:rsid w:val="00350B6C"/>
    <w:rsid w:val="003525C3"/>
    <w:rsid w:val="003536E0"/>
    <w:rsid w:val="00366B7A"/>
    <w:rsid w:val="00392AF7"/>
    <w:rsid w:val="003979D5"/>
    <w:rsid w:val="003A5237"/>
    <w:rsid w:val="003B03F1"/>
    <w:rsid w:val="003B78F8"/>
    <w:rsid w:val="003C1BA0"/>
    <w:rsid w:val="003C5557"/>
    <w:rsid w:val="003D6B00"/>
    <w:rsid w:val="003E323F"/>
    <w:rsid w:val="003E3DE0"/>
    <w:rsid w:val="003F1C69"/>
    <w:rsid w:val="00442B3E"/>
    <w:rsid w:val="004443EE"/>
    <w:rsid w:val="00447D8E"/>
    <w:rsid w:val="0045490C"/>
    <w:rsid w:val="00460FA8"/>
    <w:rsid w:val="00467BB3"/>
    <w:rsid w:val="004773B7"/>
    <w:rsid w:val="004808CE"/>
    <w:rsid w:val="00481F18"/>
    <w:rsid w:val="00484708"/>
    <w:rsid w:val="00487E90"/>
    <w:rsid w:val="00490AA4"/>
    <w:rsid w:val="00490D51"/>
    <w:rsid w:val="004A3A37"/>
    <w:rsid w:val="004B12EB"/>
    <w:rsid w:val="004B2306"/>
    <w:rsid w:val="004C7429"/>
    <w:rsid w:val="004D5E0F"/>
    <w:rsid w:val="004E0255"/>
    <w:rsid w:val="004E4390"/>
    <w:rsid w:val="004E6A69"/>
    <w:rsid w:val="004E6E7B"/>
    <w:rsid w:val="004F3401"/>
    <w:rsid w:val="004F5FE1"/>
    <w:rsid w:val="00514162"/>
    <w:rsid w:val="00516475"/>
    <w:rsid w:val="005238FB"/>
    <w:rsid w:val="005326A2"/>
    <w:rsid w:val="0053344E"/>
    <w:rsid w:val="005613B1"/>
    <w:rsid w:val="005625F8"/>
    <w:rsid w:val="0056394D"/>
    <w:rsid w:val="00565E70"/>
    <w:rsid w:val="005741E5"/>
    <w:rsid w:val="0058056C"/>
    <w:rsid w:val="00586A72"/>
    <w:rsid w:val="00587858"/>
    <w:rsid w:val="0059305E"/>
    <w:rsid w:val="00596521"/>
    <w:rsid w:val="005A067C"/>
    <w:rsid w:val="005A2A4B"/>
    <w:rsid w:val="005A38A5"/>
    <w:rsid w:val="005B6009"/>
    <w:rsid w:val="005C24FC"/>
    <w:rsid w:val="005C55FA"/>
    <w:rsid w:val="005D0A4C"/>
    <w:rsid w:val="005E67F1"/>
    <w:rsid w:val="005F6B38"/>
    <w:rsid w:val="006002B7"/>
    <w:rsid w:val="006007E1"/>
    <w:rsid w:val="00603F4C"/>
    <w:rsid w:val="006051EB"/>
    <w:rsid w:val="006136E9"/>
    <w:rsid w:val="00620215"/>
    <w:rsid w:val="00620D32"/>
    <w:rsid w:val="00630111"/>
    <w:rsid w:val="00636326"/>
    <w:rsid w:val="00640BFC"/>
    <w:rsid w:val="00644757"/>
    <w:rsid w:val="00646A1E"/>
    <w:rsid w:val="006521A5"/>
    <w:rsid w:val="00652EC2"/>
    <w:rsid w:val="00662C5F"/>
    <w:rsid w:val="0066301A"/>
    <w:rsid w:val="00666B2F"/>
    <w:rsid w:val="0067127E"/>
    <w:rsid w:val="006845DA"/>
    <w:rsid w:val="006847B1"/>
    <w:rsid w:val="006859D6"/>
    <w:rsid w:val="00690DC2"/>
    <w:rsid w:val="00692217"/>
    <w:rsid w:val="006931AC"/>
    <w:rsid w:val="006A193A"/>
    <w:rsid w:val="006A3377"/>
    <w:rsid w:val="006A5542"/>
    <w:rsid w:val="006A6B87"/>
    <w:rsid w:val="006B052D"/>
    <w:rsid w:val="006B780E"/>
    <w:rsid w:val="006C3D0A"/>
    <w:rsid w:val="006C43BE"/>
    <w:rsid w:val="006C5F71"/>
    <w:rsid w:val="006D4B28"/>
    <w:rsid w:val="006E5BD5"/>
    <w:rsid w:val="006E7BD3"/>
    <w:rsid w:val="006F1205"/>
    <w:rsid w:val="006F1662"/>
    <w:rsid w:val="006F5DD5"/>
    <w:rsid w:val="00702FF8"/>
    <w:rsid w:val="0071209B"/>
    <w:rsid w:val="007157B1"/>
    <w:rsid w:val="00720045"/>
    <w:rsid w:val="00730837"/>
    <w:rsid w:val="00737339"/>
    <w:rsid w:val="00752F99"/>
    <w:rsid w:val="007609F1"/>
    <w:rsid w:val="007631EB"/>
    <w:rsid w:val="00764EFF"/>
    <w:rsid w:val="007836B4"/>
    <w:rsid w:val="00787739"/>
    <w:rsid w:val="007939BB"/>
    <w:rsid w:val="007B00DE"/>
    <w:rsid w:val="007B0A52"/>
    <w:rsid w:val="007C42C7"/>
    <w:rsid w:val="007E01F3"/>
    <w:rsid w:val="007E4938"/>
    <w:rsid w:val="007F2184"/>
    <w:rsid w:val="00812C93"/>
    <w:rsid w:val="00812FDE"/>
    <w:rsid w:val="0083389D"/>
    <w:rsid w:val="008369EB"/>
    <w:rsid w:val="00836E5B"/>
    <w:rsid w:val="0084031B"/>
    <w:rsid w:val="00841ACD"/>
    <w:rsid w:val="00843E7D"/>
    <w:rsid w:val="00845612"/>
    <w:rsid w:val="00854231"/>
    <w:rsid w:val="00871986"/>
    <w:rsid w:val="008774C8"/>
    <w:rsid w:val="00881FDA"/>
    <w:rsid w:val="00887B81"/>
    <w:rsid w:val="008904DE"/>
    <w:rsid w:val="00895D49"/>
    <w:rsid w:val="0089630B"/>
    <w:rsid w:val="008A1A4C"/>
    <w:rsid w:val="008A25D3"/>
    <w:rsid w:val="008B0771"/>
    <w:rsid w:val="008C2DB1"/>
    <w:rsid w:val="008C3953"/>
    <w:rsid w:val="008D1C84"/>
    <w:rsid w:val="008D2F9B"/>
    <w:rsid w:val="008D39A3"/>
    <w:rsid w:val="008D59E6"/>
    <w:rsid w:val="008E57BE"/>
    <w:rsid w:val="008F05B7"/>
    <w:rsid w:val="008F5785"/>
    <w:rsid w:val="008F7574"/>
    <w:rsid w:val="009001CC"/>
    <w:rsid w:val="00902877"/>
    <w:rsid w:val="009064CB"/>
    <w:rsid w:val="0090729E"/>
    <w:rsid w:val="00913278"/>
    <w:rsid w:val="00927ADF"/>
    <w:rsid w:val="00934E2C"/>
    <w:rsid w:val="00950A16"/>
    <w:rsid w:val="009566A0"/>
    <w:rsid w:val="009625E1"/>
    <w:rsid w:val="00962FDE"/>
    <w:rsid w:val="00971167"/>
    <w:rsid w:val="00984D64"/>
    <w:rsid w:val="009878A8"/>
    <w:rsid w:val="009968DC"/>
    <w:rsid w:val="009B0BDF"/>
    <w:rsid w:val="009B5969"/>
    <w:rsid w:val="009C2FD1"/>
    <w:rsid w:val="009C34C8"/>
    <w:rsid w:val="009D5606"/>
    <w:rsid w:val="009F67C0"/>
    <w:rsid w:val="00A00E98"/>
    <w:rsid w:val="00A17093"/>
    <w:rsid w:val="00A22542"/>
    <w:rsid w:val="00A345C4"/>
    <w:rsid w:val="00A36957"/>
    <w:rsid w:val="00A37848"/>
    <w:rsid w:val="00A81BD5"/>
    <w:rsid w:val="00AA345F"/>
    <w:rsid w:val="00AA4439"/>
    <w:rsid w:val="00AA5984"/>
    <w:rsid w:val="00AB6B0D"/>
    <w:rsid w:val="00AD2344"/>
    <w:rsid w:val="00AD32A6"/>
    <w:rsid w:val="00AD61D8"/>
    <w:rsid w:val="00AE037E"/>
    <w:rsid w:val="00AE562A"/>
    <w:rsid w:val="00AE61DE"/>
    <w:rsid w:val="00AE64DB"/>
    <w:rsid w:val="00B17228"/>
    <w:rsid w:val="00B20123"/>
    <w:rsid w:val="00B2599C"/>
    <w:rsid w:val="00B30867"/>
    <w:rsid w:val="00B331AB"/>
    <w:rsid w:val="00B342CF"/>
    <w:rsid w:val="00B35A0C"/>
    <w:rsid w:val="00B4306A"/>
    <w:rsid w:val="00B4539B"/>
    <w:rsid w:val="00B51138"/>
    <w:rsid w:val="00B63F19"/>
    <w:rsid w:val="00B77D95"/>
    <w:rsid w:val="00B82EDF"/>
    <w:rsid w:val="00B919C7"/>
    <w:rsid w:val="00BA09B4"/>
    <w:rsid w:val="00BA1559"/>
    <w:rsid w:val="00BB7CA9"/>
    <w:rsid w:val="00BC2952"/>
    <w:rsid w:val="00BE4976"/>
    <w:rsid w:val="00BE5C72"/>
    <w:rsid w:val="00BE6375"/>
    <w:rsid w:val="00BE74BD"/>
    <w:rsid w:val="00BF29CE"/>
    <w:rsid w:val="00BF3F20"/>
    <w:rsid w:val="00C05411"/>
    <w:rsid w:val="00C05D03"/>
    <w:rsid w:val="00C20629"/>
    <w:rsid w:val="00C25B69"/>
    <w:rsid w:val="00C25EF4"/>
    <w:rsid w:val="00C27D10"/>
    <w:rsid w:val="00C34BBF"/>
    <w:rsid w:val="00C46D8D"/>
    <w:rsid w:val="00C52410"/>
    <w:rsid w:val="00C540F5"/>
    <w:rsid w:val="00C55375"/>
    <w:rsid w:val="00C76C71"/>
    <w:rsid w:val="00C829C4"/>
    <w:rsid w:val="00C85DF3"/>
    <w:rsid w:val="00C90060"/>
    <w:rsid w:val="00C9202C"/>
    <w:rsid w:val="00C9252C"/>
    <w:rsid w:val="00CA1972"/>
    <w:rsid w:val="00CB057C"/>
    <w:rsid w:val="00CB332A"/>
    <w:rsid w:val="00CB7AE3"/>
    <w:rsid w:val="00CC0515"/>
    <w:rsid w:val="00CC0AEA"/>
    <w:rsid w:val="00CC21EE"/>
    <w:rsid w:val="00CC2325"/>
    <w:rsid w:val="00CE44E1"/>
    <w:rsid w:val="00CF111C"/>
    <w:rsid w:val="00CF14DB"/>
    <w:rsid w:val="00D32930"/>
    <w:rsid w:val="00D42AE0"/>
    <w:rsid w:val="00D44873"/>
    <w:rsid w:val="00D4677D"/>
    <w:rsid w:val="00D570B8"/>
    <w:rsid w:val="00D70B0D"/>
    <w:rsid w:val="00D71261"/>
    <w:rsid w:val="00D714C0"/>
    <w:rsid w:val="00D76066"/>
    <w:rsid w:val="00D956F0"/>
    <w:rsid w:val="00D96563"/>
    <w:rsid w:val="00D97946"/>
    <w:rsid w:val="00DA0C9E"/>
    <w:rsid w:val="00DA0DFB"/>
    <w:rsid w:val="00DA2B86"/>
    <w:rsid w:val="00DD0D9F"/>
    <w:rsid w:val="00DD4D26"/>
    <w:rsid w:val="00DD769E"/>
    <w:rsid w:val="00DD7BE0"/>
    <w:rsid w:val="00DE39BC"/>
    <w:rsid w:val="00DE5ECE"/>
    <w:rsid w:val="00DE7300"/>
    <w:rsid w:val="00DF61B6"/>
    <w:rsid w:val="00E01B93"/>
    <w:rsid w:val="00E046D0"/>
    <w:rsid w:val="00E05706"/>
    <w:rsid w:val="00E1066D"/>
    <w:rsid w:val="00E137B6"/>
    <w:rsid w:val="00E163B8"/>
    <w:rsid w:val="00E272FC"/>
    <w:rsid w:val="00E308F6"/>
    <w:rsid w:val="00E30E83"/>
    <w:rsid w:val="00E3328F"/>
    <w:rsid w:val="00E40503"/>
    <w:rsid w:val="00E50E65"/>
    <w:rsid w:val="00E516B7"/>
    <w:rsid w:val="00E540EE"/>
    <w:rsid w:val="00E60DC7"/>
    <w:rsid w:val="00E63BEE"/>
    <w:rsid w:val="00E83808"/>
    <w:rsid w:val="00E85870"/>
    <w:rsid w:val="00E91BCB"/>
    <w:rsid w:val="00E9666E"/>
    <w:rsid w:val="00E979FC"/>
    <w:rsid w:val="00EA6861"/>
    <w:rsid w:val="00EB290E"/>
    <w:rsid w:val="00EB30B4"/>
    <w:rsid w:val="00EC3A3F"/>
    <w:rsid w:val="00EE3703"/>
    <w:rsid w:val="00EE4668"/>
    <w:rsid w:val="00EE681D"/>
    <w:rsid w:val="00EF09A0"/>
    <w:rsid w:val="00F02E8C"/>
    <w:rsid w:val="00F0698F"/>
    <w:rsid w:val="00F07071"/>
    <w:rsid w:val="00F11B6D"/>
    <w:rsid w:val="00F32536"/>
    <w:rsid w:val="00F357DD"/>
    <w:rsid w:val="00F421BE"/>
    <w:rsid w:val="00F42983"/>
    <w:rsid w:val="00F44B98"/>
    <w:rsid w:val="00F46212"/>
    <w:rsid w:val="00F564FC"/>
    <w:rsid w:val="00F566B0"/>
    <w:rsid w:val="00F62B41"/>
    <w:rsid w:val="00F64AE5"/>
    <w:rsid w:val="00F72091"/>
    <w:rsid w:val="00F83518"/>
    <w:rsid w:val="00F857D6"/>
    <w:rsid w:val="00F8736D"/>
    <w:rsid w:val="00F8793A"/>
    <w:rsid w:val="00FA01DE"/>
    <w:rsid w:val="00FA58BD"/>
    <w:rsid w:val="00FA6859"/>
    <w:rsid w:val="00FB0411"/>
    <w:rsid w:val="00FB1A0B"/>
    <w:rsid w:val="00FB1DF8"/>
    <w:rsid w:val="00FB229C"/>
    <w:rsid w:val="00FC056C"/>
    <w:rsid w:val="00FC3682"/>
    <w:rsid w:val="00FD1962"/>
    <w:rsid w:val="00FD575C"/>
    <w:rsid w:val="00FD770F"/>
    <w:rsid w:val="00FE41CD"/>
    <w:rsid w:val="00FE5C1A"/>
    <w:rsid w:val="00FE6DD1"/>
    <w:rsid w:val="00FE79C7"/>
    <w:rsid w:val="00FF6365"/>
    <w:rsid w:val="00FF7A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3151BC-3486-4566-8D99-3F2F697E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680A"/>
    <w:pPr>
      <w:widowControl w:val="0"/>
      <w:suppressAutoHyphens/>
      <w:spacing w:line="360"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1D58B0"/>
    <w:rPr>
      <w:rFonts w:ascii="Tahoma" w:hAnsi="Tahoma" w:cs="Tahoma"/>
      <w:sz w:val="16"/>
      <w:szCs w:val="16"/>
    </w:rPr>
  </w:style>
  <w:style w:type="character" w:styleId="Hyperlink">
    <w:name w:val="Hyperlink"/>
    <w:rsid w:val="00DD769E"/>
    <w:rPr>
      <w:color w:val="0000FF"/>
      <w:u w:val="single"/>
    </w:rPr>
  </w:style>
  <w:style w:type="paragraph" w:styleId="Koptekst">
    <w:name w:val="header"/>
    <w:basedOn w:val="Standaard"/>
    <w:rsid w:val="00093C07"/>
    <w:pPr>
      <w:tabs>
        <w:tab w:val="center" w:pos="4703"/>
        <w:tab w:val="right" w:pos="9406"/>
      </w:tabs>
    </w:pPr>
  </w:style>
  <w:style w:type="paragraph" w:styleId="Voettekst">
    <w:name w:val="footer"/>
    <w:basedOn w:val="Standaard"/>
    <w:rsid w:val="00093C07"/>
    <w:pPr>
      <w:tabs>
        <w:tab w:val="center" w:pos="4703"/>
        <w:tab w:val="right" w:pos="9406"/>
      </w:tabs>
    </w:pPr>
  </w:style>
  <w:style w:type="paragraph" w:customStyle="1" w:styleId="standaard0">
    <w:name w:val="standaard"/>
    <w:basedOn w:val="Standaard"/>
    <w:rsid w:val="000703E8"/>
    <w:pPr>
      <w:widowControl/>
      <w:shd w:val="clear" w:color="auto" w:fill="FFFFFF"/>
      <w:suppressAutoHyphens w:val="0"/>
      <w:spacing w:before="30" w:line="180" w:lineRule="atLeast"/>
      <w:ind w:left="75" w:right="45" w:hanging="284"/>
    </w:pPr>
    <w:rPr>
      <w:rFonts w:cs="Arial"/>
      <w:color w:val="000000"/>
    </w:rPr>
  </w:style>
  <w:style w:type="character" w:styleId="GevolgdeHyperlink">
    <w:name w:val="FollowedHyperlink"/>
    <w:uiPriority w:val="99"/>
    <w:semiHidden/>
    <w:unhideWhenUsed/>
    <w:rsid w:val="003224FC"/>
    <w:rPr>
      <w:color w:val="800080"/>
      <w:u w:val="single"/>
    </w:rPr>
  </w:style>
  <w:style w:type="character" w:styleId="Verwijzingopmerking">
    <w:name w:val="annotation reference"/>
    <w:uiPriority w:val="99"/>
    <w:semiHidden/>
    <w:unhideWhenUsed/>
    <w:rsid w:val="00326912"/>
    <w:rPr>
      <w:sz w:val="16"/>
      <w:szCs w:val="16"/>
    </w:rPr>
  </w:style>
  <w:style w:type="paragraph" w:styleId="Tekstopmerking">
    <w:name w:val="annotation text"/>
    <w:basedOn w:val="Standaard"/>
    <w:link w:val="TekstopmerkingChar"/>
    <w:uiPriority w:val="99"/>
    <w:unhideWhenUsed/>
    <w:rsid w:val="00326912"/>
  </w:style>
  <w:style w:type="character" w:customStyle="1" w:styleId="TekstopmerkingChar">
    <w:name w:val="Tekst opmerking Char"/>
    <w:link w:val="Tekstopmerking"/>
    <w:uiPriority w:val="99"/>
    <w:rsid w:val="00326912"/>
    <w:rPr>
      <w:rFonts w:ascii="Arial" w:hAnsi="Arial"/>
    </w:rPr>
  </w:style>
  <w:style w:type="paragraph" w:styleId="Onderwerpvanopmerking">
    <w:name w:val="annotation subject"/>
    <w:basedOn w:val="Tekstopmerking"/>
    <w:next w:val="Tekstopmerking"/>
    <w:link w:val="OnderwerpvanopmerkingChar"/>
    <w:uiPriority w:val="99"/>
    <w:semiHidden/>
    <w:unhideWhenUsed/>
    <w:rsid w:val="00326912"/>
    <w:rPr>
      <w:b/>
      <w:bCs/>
    </w:rPr>
  </w:style>
  <w:style w:type="character" w:customStyle="1" w:styleId="OnderwerpvanopmerkingChar">
    <w:name w:val="Onderwerp van opmerking Char"/>
    <w:link w:val="Onderwerpvanopmerking"/>
    <w:uiPriority w:val="99"/>
    <w:semiHidden/>
    <w:rsid w:val="00326912"/>
    <w:rPr>
      <w:rFonts w:ascii="Arial" w:hAnsi="Arial"/>
      <w:b/>
      <w:bCs/>
    </w:rPr>
  </w:style>
  <w:style w:type="paragraph" w:styleId="Lijstalinea">
    <w:name w:val="List Paragraph"/>
    <w:basedOn w:val="Standaard"/>
    <w:uiPriority w:val="34"/>
    <w:qFormat/>
    <w:rsid w:val="00B82EDF"/>
    <w:pPr>
      <w:ind w:left="720"/>
      <w:contextualSpacing/>
    </w:pPr>
  </w:style>
  <w:style w:type="paragraph" w:styleId="Voetnoottekst">
    <w:name w:val="footnote text"/>
    <w:basedOn w:val="Standaard"/>
    <w:link w:val="VoetnoottekstChar"/>
    <w:uiPriority w:val="99"/>
    <w:semiHidden/>
    <w:unhideWhenUsed/>
    <w:rsid w:val="006B052D"/>
    <w:pPr>
      <w:spacing w:line="240" w:lineRule="auto"/>
    </w:pPr>
  </w:style>
  <w:style w:type="character" w:customStyle="1" w:styleId="VoetnoottekstChar">
    <w:name w:val="Voetnoottekst Char"/>
    <w:basedOn w:val="Standaardalinea-lettertype"/>
    <w:link w:val="Voetnoottekst"/>
    <w:uiPriority w:val="99"/>
    <w:semiHidden/>
    <w:rsid w:val="006B052D"/>
    <w:rPr>
      <w:rFonts w:ascii="Arial" w:hAnsi="Arial"/>
    </w:rPr>
  </w:style>
  <w:style w:type="character" w:styleId="Voetnootmarkering">
    <w:name w:val="footnote reference"/>
    <w:basedOn w:val="Standaardalinea-lettertype"/>
    <w:uiPriority w:val="99"/>
    <w:semiHidden/>
    <w:unhideWhenUsed/>
    <w:rsid w:val="006B052D"/>
    <w:rPr>
      <w:vertAlign w:val="superscript"/>
    </w:rPr>
  </w:style>
  <w:style w:type="paragraph" w:styleId="Revisie">
    <w:name w:val="Revision"/>
    <w:hidden/>
    <w:uiPriority w:val="99"/>
    <w:semiHidden/>
    <w:rsid w:val="003536E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209">
      <w:bodyDiv w:val="1"/>
      <w:marLeft w:val="0"/>
      <w:marRight w:val="0"/>
      <w:marTop w:val="0"/>
      <w:marBottom w:val="0"/>
      <w:divBdr>
        <w:top w:val="none" w:sz="0" w:space="0" w:color="auto"/>
        <w:left w:val="none" w:sz="0" w:space="0" w:color="auto"/>
        <w:bottom w:val="none" w:sz="0" w:space="0" w:color="auto"/>
        <w:right w:val="none" w:sz="0" w:space="0" w:color="auto"/>
      </w:divBdr>
    </w:div>
    <w:div w:id="431361489">
      <w:bodyDiv w:val="1"/>
      <w:marLeft w:val="0"/>
      <w:marRight w:val="0"/>
      <w:marTop w:val="0"/>
      <w:marBottom w:val="0"/>
      <w:divBdr>
        <w:top w:val="none" w:sz="0" w:space="0" w:color="auto"/>
        <w:left w:val="none" w:sz="0" w:space="0" w:color="auto"/>
        <w:bottom w:val="none" w:sz="0" w:space="0" w:color="auto"/>
        <w:right w:val="none" w:sz="0" w:space="0" w:color="auto"/>
      </w:divBdr>
    </w:div>
    <w:div w:id="672075366">
      <w:bodyDiv w:val="1"/>
      <w:marLeft w:val="0"/>
      <w:marRight w:val="0"/>
      <w:marTop w:val="0"/>
      <w:marBottom w:val="0"/>
      <w:divBdr>
        <w:top w:val="none" w:sz="0" w:space="0" w:color="auto"/>
        <w:left w:val="none" w:sz="0" w:space="0" w:color="auto"/>
        <w:bottom w:val="none" w:sz="0" w:space="0" w:color="auto"/>
        <w:right w:val="none" w:sz="0" w:space="0" w:color="auto"/>
      </w:divBdr>
    </w:div>
    <w:div w:id="703022054">
      <w:bodyDiv w:val="1"/>
      <w:marLeft w:val="0"/>
      <w:marRight w:val="0"/>
      <w:marTop w:val="0"/>
      <w:marBottom w:val="0"/>
      <w:divBdr>
        <w:top w:val="none" w:sz="0" w:space="0" w:color="auto"/>
        <w:left w:val="none" w:sz="0" w:space="0" w:color="auto"/>
        <w:bottom w:val="none" w:sz="0" w:space="0" w:color="auto"/>
        <w:right w:val="none" w:sz="0" w:space="0" w:color="auto"/>
      </w:divBdr>
    </w:div>
    <w:div w:id="783040172">
      <w:bodyDiv w:val="1"/>
      <w:marLeft w:val="0"/>
      <w:marRight w:val="0"/>
      <w:marTop w:val="0"/>
      <w:marBottom w:val="0"/>
      <w:divBdr>
        <w:top w:val="none" w:sz="0" w:space="0" w:color="auto"/>
        <w:left w:val="none" w:sz="0" w:space="0" w:color="auto"/>
        <w:bottom w:val="none" w:sz="0" w:space="0" w:color="auto"/>
        <w:right w:val="none" w:sz="0" w:space="0" w:color="auto"/>
      </w:divBdr>
    </w:div>
    <w:div w:id="21053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53F6CB6100C94CBBB34B97E7C054A5" ma:contentTypeVersion="0" ma:contentTypeDescription="Een nieuw document maken." ma:contentTypeScope="" ma:versionID="2651827d83c9f4e2f44ab5d7f6d626ce">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A88961-9879-4EC4-8100-4CF9AF7E853F}">
  <ds:schemaRefs>
    <ds:schemaRef ds:uri="http://schemas.openxmlformats.org/officeDocument/2006/bibliography"/>
  </ds:schemaRefs>
</ds:datastoreItem>
</file>

<file path=customXml/itemProps2.xml><?xml version="1.0" encoding="utf-8"?>
<ds:datastoreItem xmlns:ds="http://schemas.openxmlformats.org/officeDocument/2006/customXml" ds:itemID="{1E0209AB-C6BC-4A08-ACF8-1817E3F3B689}"/>
</file>

<file path=customXml/itemProps3.xml><?xml version="1.0" encoding="utf-8"?>
<ds:datastoreItem xmlns:ds="http://schemas.openxmlformats.org/officeDocument/2006/customXml" ds:itemID="{6F483554-B156-47D2-8920-E300756F3028}"/>
</file>

<file path=customXml/itemProps4.xml><?xml version="1.0" encoding="utf-8"?>
<ds:datastoreItem xmlns:ds="http://schemas.openxmlformats.org/officeDocument/2006/customXml" ds:itemID="{D1B46923-DCC4-4AB9-A0F8-9C17D9CCF047}"/>
</file>

<file path=docProps/app.xml><?xml version="1.0" encoding="utf-8"?>
<Properties xmlns="http://schemas.openxmlformats.org/officeDocument/2006/extended-properties" xmlns:vt="http://schemas.openxmlformats.org/officeDocument/2006/docPropsVTypes">
  <Template>Normal</Template>
  <TotalTime>0</TotalTime>
  <Pages>6</Pages>
  <Words>2307</Words>
  <Characters>14283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Sjabloon beleidsbesluit v27012015</vt:lpstr>
    </vt:vector>
  </TitlesOfParts>
  <Company>Ministerie van Financiën</Company>
  <LinksUpToDate>false</LinksUpToDate>
  <CharactersWithSpaces>16557</CharactersWithSpaces>
  <SharedDoc>false</SharedDoc>
  <HLinks>
    <vt:vector size="24" baseType="variant">
      <vt:variant>
        <vt:i4>4718614</vt:i4>
      </vt:variant>
      <vt:variant>
        <vt:i4>9</vt:i4>
      </vt:variant>
      <vt:variant>
        <vt:i4>0</vt:i4>
      </vt:variant>
      <vt:variant>
        <vt:i4>5</vt:i4>
      </vt:variant>
      <vt:variant>
        <vt:lpwstr>http://wetten.overheid.nl/BWBR0005730/2018-01-01</vt:lpwstr>
      </vt:variant>
      <vt:variant>
        <vt:lpwstr>Hoofdstuk4_Paragraaf4.9_Artikel4.50</vt:lpwstr>
      </vt:variant>
      <vt:variant>
        <vt:i4>5177371</vt:i4>
      </vt:variant>
      <vt:variant>
        <vt:i4>6</vt:i4>
      </vt:variant>
      <vt:variant>
        <vt:i4>0</vt:i4>
      </vt:variant>
      <vt:variant>
        <vt:i4>5</vt:i4>
      </vt:variant>
      <vt:variant>
        <vt:lpwstr>http://wetten.overheid.nl/BWBR0005730/2018-01-01</vt:lpwstr>
      </vt:variant>
      <vt:variant>
        <vt:lpwstr>Hoofdstuk3_Paragraaf3.3_Artikel3.27</vt:lpwstr>
      </vt:variant>
      <vt:variant>
        <vt:i4>6291499</vt:i4>
      </vt:variant>
      <vt:variant>
        <vt:i4>3</vt:i4>
      </vt:variant>
      <vt:variant>
        <vt:i4>0</vt:i4>
      </vt:variant>
      <vt:variant>
        <vt:i4>5</vt:i4>
      </vt:variant>
      <vt:variant>
        <vt:lpwstr>http://www.rijksoverheid.nl/onderwerpen/belastingen-voor-ondernemers/belastingen-internationale-ondernemers/internationale-fiscale-mededelingen</vt:lpwstr>
      </vt:variant>
      <vt:variant>
        <vt:lpwstr/>
      </vt:variant>
      <vt:variant>
        <vt:i4>1704017</vt:i4>
      </vt:variant>
      <vt:variant>
        <vt:i4>0</vt:i4>
      </vt:variant>
      <vt:variant>
        <vt:i4>0</vt:i4>
      </vt:variant>
      <vt:variant>
        <vt:i4>5</vt:i4>
      </vt:variant>
      <vt:variant>
        <vt:lpwstr>http://uitspraken.rechtspraak.nl/inziendocument?id=ECLI:NL:HR:2006:AZ3355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beleidsbesluit v27012015</dc:title>
  <dc:creator/>
  <cp:lastModifiedBy>Vos, EG (Evert) (BLKB)</cp:lastModifiedBy>
  <cp:revision>4</cp:revision>
  <cp:lastPrinted>2019-11-19T07:38:00Z</cp:lastPrinted>
  <dcterms:created xsi:type="dcterms:W3CDTF">2019-11-27T09:16:00Z</dcterms:created>
  <dcterms:modified xsi:type="dcterms:W3CDTF">2019-11-29T13:43:00Z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0x0101007E53F6CB6100C94CBBB34B97E7C054A5</vt:lpwstr>
  </property>
</Properties>
</file>